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C4" w:rsidRPr="00C1320E" w:rsidRDefault="008465C4">
      <w:pPr>
        <w:rPr>
          <w:rFonts w:ascii="Trebuchet MS" w:hAnsi="Trebuchet MS"/>
          <w:sz w:val="24"/>
          <w:szCs w:val="24"/>
        </w:rPr>
      </w:pPr>
    </w:p>
    <w:p w:rsidR="00C478F4" w:rsidRPr="00C1320E" w:rsidRDefault="008465C4">
      <w:pPr>
        <w:rPr>
          <w:rFonts w:ascii="Trebuchet MS" w:hAnsi="Trebuchet MS"/>
          <w:b/>
          <w:sz w:val="28"/>
          <w:szCs w:val="28"/>
          <w:u w:val="single"/>
        </w:rPr>
      </w:pPr>
      <w:r w:rsidRPr="00C1320E">
        <w:rPr>
          <w:rFonts w:ascii="Trebuchet MS" w:hAnsi="Trebuchet MS"/>
          <w:b/>
          <w:sz w:val="28"/>
          <w:szCs w:val="28"/>
          <w:u w:val="single"/>
        </w:rPr>
        <w:t>New governing body regulations affecting PLASC</w:t>
      </w:r>
    </w:p>
    <w:p w:rsidR="008465C4" w:rsidRPr="00C1320E" w:rsidRDefault="008465C4">
      <w:pPr>
        <w:rPr>
          <w:rFonts w:ascii="Trebuchet MS" w:hAnsi="Trebuchet MS"/>
          <w:b/>
          <w:sz w:val="24"/>
          <w:szCs w:val="24"/>
        </w:rPr>
      </w:pPr>
    </w:p>
    <w:p w:rsidR="008465C4" w:rsidRPr="00C1320E" w:rsidRDefault="008465C4">
      <w:pPr>
        <w:rPr>
          <w:rFonts w:ascii="Trebuchet MS" w:hAnsi="Trebuchet MS"/>
          <w:b/>
          <w:sz w:val="24"/>
          <w:szCs w:val="24"/>
        </w:rPr>
      </w:pPr>
      <w:r w:rsidRPr="00C1320E">
        <w:rPr>
          <w:rFonts w:ascii="Trebuchet MS" w:hAnsi="Trebuchet MS"/>
          <w:b/>
          <w:sz w:val="24"/>
          <w:szCs w:val="24"/>
        </w:rPr>
        <w:t>Paper for SDF – 11</w:t>
      </w:r>
      <w:r w:rsidRPr="00C1320E">
        <w:rPr>
          <w:rFonts w:ascii="Trebuchet MS" w:hAnsi="Trebuchet MS"/>
          <w:b/>
          <w:sz w:val="24"/>
          <w:szCs w:val="24"/>
          <w:vertAlign w:val="superscript"/>
        </w:rPr>
        <w:t>th</w:t>
      </w:r>
      <w:r w:rsidRPr="00C1320E">
        <w:rPr>
          <w:rFonts w:ascii="Trebuchet MS" w:hAnsi="Trebuchet MS"/>
          <w:b/>
          <w:sz w:val="24"/>
          <w:szCs w:val="24"/>
        </w:rPr>
        <w:t xml:space="preserve"> February 2014</w:t>
      </w:r>
    </w:p>
    <w:p w:rsidR="008465C4" w:rsidRPr="00C1320E" w:rsidRDefault="008465C4">
      <w:pPr>
        <w:rPr>
          <w:rFonts w:ascii="Trebuchet MS" w:hAnsi="Trebuchet MS"/>
          <w:sz w:val="24"/>
          <w:szCs w:val="24"/>
        </w:rPr>
      </w:pPr>
    </w:p>
    <w:p w:rsidR="008465C4" w:rsidRPr="00C1320E" w:rsidRDefault="008465C4" w:rsidP="008465C4">
      <w:pPr>
        <w:rPr>
          <w:rFonts w:ascii="Trebuchet MS" w:hAnsi="Trebuchet MS"/>
          <w:sz w:val="24"/>
          <w:szCs w:val="24"/>
        </w:rPr>
      </w:pPr>
      <w:r w:rsidRPr="00C1320E">
        <w:rPr>
          <w:rFonts w:ascii="Trebuchet MS" w:hAnsi="Trebuchet MS"/>
          <w:sz w:val="24"/>
          <w:szCs w:val="24"/>
        </w:rPr>
        <w:t xml:space="preserve">Regulations </w:t>
      </w:r>
      <w:r w:rsidR="00BF6396">
        <w:rPr>
          <w:rFonts w:ascii="Trebuchet MS" w:hAnsi="Trebuchet MS"/>
          <w:sz w:val="24"/>
          <w:szCs w:val="24"/>
        </w:rPr>
        <w:t>have been</w:t>
      </w:r>
      <w:r w:rsidRPr="00C1320E">
        <w:rPr>
          <w:rFonts w:ascii="Trebuchet MS" w:hAnsi="Trebuchet MS"/>
          <w:sz w:val="24"/>
          <w:szCs w:val="24"/>
        </w:rPr>
        <w:t xml:space="preserve"> made which allow between two and </w:t>
      </w:r>
      <w:r w:rsidR="00BF6396">
        <w:rPr>
          <w:rFonts w:ascii="Trebuchet MS" w:hAnsi="Trebuchet MS"/>
          <w:sz w:val="24"/>
          <w:szCs w:val="24"/>
        </w:rPr>
        <w:t xml:space="preserve">five </w:t>
      </w:r>
      <w:r w:rsidRPr="00C1320E">
        <w:rPr>
          <w:rFonts w:ascii="Trebuchet MS" w:hAnsi="Trebuchet MS"/>
          <w:sz w:val="24"/>
          <w:szCs w:val="24"/>
        </w:rPr>
        <w:t>governing bodies to federate under a single governing body</w:t>
      </w:r>
      <w:r w:rsidR="00BF6396">
        <w:rPr>
          <w:rFonts w:ascii="Trebuchet MS" w:hAnsi="Trebuchet MS"/>
          <w:sz w:val="24"/>
          <w:szCs w:val="24"/>
        </w:rPr>
        <w:t xml:space="preserve">(from this </w:t>
      </w:r>
      <w:r w:rsidR="005A3075">
        <w:rPr>
          <w:rFonts w:ascii="Trebuchet MS" w:hAnsi="Trebuchet MS"/>
          <w:sz w:val="24"/>
          <w:szCs w:val="24"/>
        </w:rPr>
        <w:t>s</w:t>
      </w:r>
      <w:r w:rsidR="00BF6396">
        <w:rPr>
          <w:rFonts w:ascii="Trebuchet MS" w:hAnsi="Trebuchet MS"/>
          <w:sz w:val="24"/>
          <w:szCs w:val="24"/>
        </w:rPr>
        <w:t>pring new federation regulations will permit between two and six schools to federate)</w:t>
      </w:r>
      <w:r w:rsidRPr="00C1320E">
        <w:rPr>
          <w:rFonts w:ascii="Trebuchet MS" w:hAnsi="Trebuchet MS"/>
          <w:sz w:val="24"/>
          <w:szCs w:val="24"/>
        </w:rPr>
        <w:t>. Up to now only about 20 schools have used these powers</w:t>
      </w:r>
      <w:r w:rsidR="00C1320E">
        <w:rPr>
          <w:rFonts w:ascii="Trebuchet MS" w:hAnsi="Trebuchet MS"/>
          <w:sz w:val="24"/>
          <w:szCs w:val="24"/>
        </w:rPr>
        <w:t>,</w:t>
      </w:r>
      <w:r w:rsidRPr="00C1320E">
        <w:rPr>
          <w:rFonts w:ascii="Trebuchet MS" w:hAnsi="Trebuchet MS"/>
          <w:sz w:val="24"/>
          <w:szCs w:val="24"/>
        </w:rPr>
        <w:t xml:space="preserve"> so for this year we are continuing to record those schools as each having a governing body. Technically and legally they do - the problem is it is the same people who are the governors. </w:t>
      </w:r>
    </w:p>
    <w:p w:rsidR="008465C4" w:rsidRPr="00C1320E" w:rsidRDefault="008465C4" w:rsidP="008465C4">
      <w:pPr>
        <w:rPr>
          <w:rFonts w:ascii="Trebuchet MS" w:hAnsi="Trebuchet MS"/>
          <w:sz w:val="24"/>
          <w:szCs w:val="24"/>
        </w:rPr>
      </w:pPr>
    </w:p>
    <w:p w:rsidR="008465C4" w:rsidRPr="00C1320E" w:rsidRDefault="008465C4" w:rsidP="008465C4">
      <w:pPr>
        <w:rPr>
          <w:rFonts w:ascii="Trebuchet MS" w:hAnsi="Trebuchet MS"/>
          <w:sz w:val="24"/>
          <w:szCs w:val="24"/>
        </w:rPr>
      </w:pPr>
      <w:r w:rsidRPr="00C1320E">
        <w:rPr>
          <w:rFonts w:ascii="Trebuchet MS" w:hAnsi="Trebuchet MS"/>
          <w:sz w:val="24"/>
          <w:szCs w:val="24"/>
        </w:rPr>
        <w:t xml:space="preserve">From spring this year we will be making new federation regulations which will give LAs (consortia) the powers to federate schools. We know LAs are waiting for these powers and we therefore expect there to be an increase in the number of federations taking place later this year. </w:t>
      </w:r>
      <w:r w:rsidR="00B33929">
        <w:rPr>
          <w:rFonts w:ascii="Trebuchet MS" w:hAnsi="Trebuchet MS"/>
          <w:sz w:val="24"/>
          <w:szCs w:val="24"/>
        </w:rPr>
        <w:t xml:space="preserve">The knock on affect is that we also expect there to be an overall reduction in the number of governors as schools will be sharing a governing body. </w:t>
      </w:r>
    </w:p>
    <w:p w:rsidR="008465C4" w:rsidRPr="00C1320E" w:rsidRDefault="008465C4" w:rsidP="008465C4">
      <w:pPr>
        <w:rPr>
          <w:rFonts w:ascii="Trebuchet MS" w:hAnsi="Trebuchet MS"/>
          <w:sz w:val="24"/>
          <w:szCs w:val="24"/>
        </w:rPr>
      </w:pPr>
    </w:p>
    <w:p w:rsidR="008465C4" w:rsidRPr="00C1320E" w:rsidRDefault="008465C4" w:rsidP="008465C4">
      <w:pPr>
        <w:rPr>
          <w:rFonts w:ascii="Trebuchet MS" w:hAnsi="Trebuchet MS"/>
          <w:sz w:val="24"/>
          <w:szCs w:val="24"/>
        </w:rPr>
      </w:pPr>
      <w:r w:rsidRPr="00C1320E">
        <w:rPr>
          <w:rFonts w:ascii="Trebuchet MS" w:hAnsi="Trebuchet MS"/>
          <w:sz w:val="24"/>
          <w:szCs w:val="24"/>
        </w:rPr>
        <w:t>For PLASC 2015 onwards, we need a way</w:t>
      </w:r>
      <w:r w:rsidR="00C1320E">
        <w:rPr>
          <w:rFonts w:ascii="Trebuchet MS" w:hAnsi="Trebuchet MS"/>
          <w:sz w:val="24"/>
          <w:szCs w:val="24"/>
        </w:rPr>
        <w:t xml:space="preserve"> to report </w:t>
      </w:r>
      <w:r w:rsidR="00B33929">
        <w:rPr>
          <w:rFonts w:ascii="Trebuchet MS" w:hAnsi="Trebuchet MS"/>
          <w:sz w:val="24"/>
          <w:szCs w:val="24"/>
        </w:rPr>
        <w:t xml:space="preserve">school governor statistics for </w:t>
      </w:r>
      <w:r w:rsidR="00C1320E">
        <w:rPr>
          <w:rFonts w:ascii="Trebuchet MS" w:hAnsi="Trebuchet MS"/>
          <w:sz w:val="24"/>
          <w:szCs w:val="24"/>
        </w:rPr>
        <w:t>these new federation</w:t>
      </w:r>
      <w:r w:rsidRPr="00C1320E">
        <w:rPr>
          <w:rFonts w:ascii="Trebuchet MS" w:hAnsi="Trebuchet MS"/>
          <w:sz w:val="24"/>
          <w:szCs w:val="24"/>
        </w:rPr>
        <w:t xml:space="preserve"> arrangements</w:t>
      </w:r>
      <w:r w:rsidR="00B33929">
        <w:rPr>
          <w:rFonts w:ascii="Trebuchet MS" w:hAnsi="Trebuchet MS"/>
          <w:sz w:val="24"/>
          <w:szCs w:val="24"/>
        </w:rPr>
        <w:t xml:space="preserve"> if the numbers of governors recorded is to be accurate</w:t>
      </w:r>
      <w:r w:rsidRPr="00C1320E">
        <w:rPr>
          <w:rFonts w:ascii="Trebuchet MS" w:hAnsi="Trebuchet MS"/>
          <w:sz w:val="24"/>
          <w:szCs w:val="24"/>
        </w:rPr>
        <w:t>.</w:t>
      </w:r>
    </w:p>
    <w:p w:rsidR="008465C4" w:rsidRPr="00C1320E" w:rsidRDefault="008465C4" w:rsidP="008465C4">
      <w:pPr>
        <w:rPr>
          <w:rFonts w:ascii="Trebuchet MS" w:hAnsi="Trebuchet MS"/>
          <w:sz w:val="24"/>
          <w:szCs w:val="24"/>
        </w:rPr>
      </w:pPr>
    </w:p>
    <w:p w:rsidR="008465C4" w:rsidRPr="00C1320E" w:rsidRDefault="008465C4" w:rsidP="008465C4">
      <w:pPr>
        <w:rPr>
          <w:rFonts w:ascii="Trebuchet MS" w:hAnsi="Trebuchet MS"/>
          <w:sz w:val="24"/>
          <w:szCs w:val="24"/>
        </w:rPr>
      </w:pPr>
      <w:r w:rsidRPr="00C1320E">
        <w:rPr>
          <w:rFonts w:ascii="Trebuchet MS" w:hAnsi="Trebuchet MS"/>
          <w:sz w:val="24"/>
          <w:szCs w:val="24"/>
        </w:rPr>
        <w:t>Currently, PLASC asks for:</w:t>
      </w:r>
    </w:p>
    <w:p w:rsidR="008465C4" w:rsidRPr="00C1320E" w:rsidRDefault="008465C4" w:rsidP="008465C4">
      <w:pPr>
        <w:rPr>
          <w:rFonts w:ascii="Trebuchet MS" w:hAnsi="Trebuchet MS"/>
          <w:color w:val="1F497D"/>
          <w:sz w:val="24"/>
          <w:szCs w:val="24"/>
        </w:rPr>
      </w:pPr>
    </w:p>
    <w:p w:rsidR="008465C4" w:rsidRPr="00C1320E" w:rsidRDefault="008465C4" w:rsidP="008465C4">
      <w:pPr>
        <w:keepNext/>
        <w:rPr>
          <w:rFonts w:ascii="Arial" w:hAnsi="Arial" w:cs="Arial"/>
          <w:b/>
          <w:sz w:val="24"/>
          <w:szCs w:val="24"/>
        </w:rPr>
      </w:pPr>
      <w:r w:rsidRPr="00C1320E">
        <w:rPr>
          <w:rFonts w:ascii="Arial" w:hAnsi="Arial" w:cs="Arial"/>
          <w:b/>
          <w:sz w:val="24"/>
          <w:szCs w:val="24"/>
        </w:rPr>
        <w:t>Governance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701"/>
        <w:gridCol w:w="2126"/>
        <w:gridCol w:w="1701"/>
      </w:tblGrid>
      <w:tr w:rsidR="008465C4" w:rsidRPr="00C1320E" w:rsidTr="00C1320E">
        <w:tc>
          <w:tcPr>
            <w:tcW w:w="3686" w:type="dxa"/>
            <w:tcBorders>
              <w:top w:val="single" w:sz="4" w:space="0" w:color="auto"/>
              <w:left w:val="single" w:sz="4" w:space="0" w:color="auto"/>
              <w:bottom w:val="single" w:sz="4" w:space="0" w:color="auto"/>
              <w:right w:val="single" w:sz="4" w:space="0" w:color="auto"/>
            </w:tcBorders>
            <w:shd w:val="clear" w:color="auto" w:fill="E0E0E0"/>
          </w:tcPr>
          <w:p w:rsidR="008465C4" w:rsidRPr="00C1320E" w:rsidRDefault="008465C4" w:rsidP="000D6ADD">
            <w:pPr>
              <w:pStyle w:val="Header"/>
              <w:keepNext/>
              <w:tabs>
                <w:tab w:val="clear" w:pos="4153"/>
                <w:tab w:val="clear" w:pos="8306"/>
              </w:tabs>
              <w:ind w:left="75"/>
              <w:jc w:val="both"/>
              <w:rPr>
                <w:b/>
                <w:bCs/>
                <w:sz w:val="24"/>
                <w:szCs w:val="24"/>
              </w:rPr>
            </w:pPr>
            <w:r w:rsidRPr="00C1320E">
              <w:rPr>
                <w:b/>
                <w:bCs/>
                <w:sz w:val="24"/>
                <w:szCs w:val="24"/>
              </w:rPr>
              <w:t>Field Name</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8465C4" w:rsidRPr="00C1320E" w:rsidRDefault="008465C4" w:rsidP="000D6ADD">
            <w:pPr>
              <w:pStyle w:val="Header"/>
              <w:keepNext/>
              <w:tabs>
                <w:tab w:val="clear" w:pos="4153"/>
                <w:tab w:val="clear" w:pos="8306"/>
              </w:tabs>
              <w:jc w:val="center"/>
              <w:rPr>
                <w:b/>
                <w:bCs/>
                <w:sz w:val="24"/>
                <w:szCs w:val="24"/>
              </w:rPr>
            </w:pPr>
            <w:r w:rsidRPr="00C1320E">
              <w:rPr>
                <w:b/>
                <w:bCs/>
                <w:sz w:val="24"/>
                <w:szCs w:val="24"/>
              </w:rPr>
              <w:t>Field Length</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rsidR="008465C4" w:rsidRPr="00C1320E" w:rsidRDefault="008465C4" w:rsidP="000D6ADD">
            <w:pPr>
              <w:pStyle w:val="Header"/>
              <w:keepNext/>
              <w:tabs>
                <w:tab w:val="clear" w:pos="4153"/>
                <w:tab w:val="clear" w:pos="8306"/>
              </w:tabs>
              <w:jc w:val="center"/>
              <w:rPr>
                <w:b/>
                <w:bCs/>
                <w:sz w:val="24"/>
                <w:szCs w:val="24"/>
              </w:rPr>
            </w:pPr>
            <w:r w:rsidRPr="00C1320E">
              <w:rPr>
                <w:b/>
                <w:bCs/>
                <w:sz w:val="24"/>
                <w:szCs w:val="24"/>
              </w:rPr>
              <w:t>Field Type</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8465C4" w:rsidRPr="00C1320E" w:rsidRDefault="008465C4" w:rsidP="000D6ADD">
            <w:pPr>
              <w:pStyle w:val="Header"/>
              <w:keepNext/>
              <w:tabs>
                <w:tab w:val="clear" w:pos="4153"/>
                <w:tab w:val="clear" w:pos="8306"/>
              </w:tabs>
              <w:jc w:val="center"/>
              <w:rPr>
                <w:b/>
                <w:bCs/>
                <w:sz w:val="24"/>
                <w:szCs w:val="24"/>
              </w:rPr>
            </w:pPr>
            <w:r w:rsidRPr="00C1320E">
              <w:rPr>
                <w:b/>
                <w:bCs/>
                <w:sz w:val="24"/>
                <w:szCs w:val="24"/>
              </w:rPr>
              <w:t>Sample Data</w:t>
            </w:r>
          </w:p>
        </w:tc>
      </w:tr>
      <w:tr w:rsidR="008465C4" w:rsidRPr="00C1320E" w:rsidTr="00C1320E">
        <w:tblPrEx>
          <w:tblCellMar>
            <w:left w:w="0" w:type="dxa"/>
            <w:right w:w="0" w:type="dxa"/>
          </w:tblCellMar>
        </w:tblPrEx>
        <w:trPr>
          <w:cantSplit/>
          <w:trHeight w:val="288"/>
        </w:trPr>
        <w:tc>
          <w:tcPr>
            <w:tcW w:w="3686"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8465C4" w:rsidRPr="00C1320E" w:rsidRDefault="008465C4" w:rsidP="000D6ADD">
            <w:pPr>
              <w:keepNext/>
              <w:ind w:left="75"/>
              <w:rPr>
                <w:rFonts w:ascii="Arial" w:hAnsi="Arial" w:cs="Arial"/>
                <w:color w:val="000000"/>
                <w:sz w:val="24"/>
                <w:szCs w:val="24"/>
              </w:rPr>
            </w:pPr>
            <w:r w:rsidRPr="00C1320E">
              <w:rPr>
                <w:rFonts w:ascii="Arial" w:hAnsi="Arial" w:cs="Arial"/>
                <w:color w:val="000000"/>
                <w:sz w:val="24"/>
                <w:szCs w:val="24"/>
              </w:rPr>
              <w:t>Governance</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Alphanumeric</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CO</w:t>
            </w:r>
          </w:p>
        </w:tc>
      </w:tr>
      <w:tr w:rsidR="008465C4" w:rsidRPr="00C1320E" w:rsidTr="00C1320E">
        <w:tblPrEx>
          <w:tblCellMar>
            <w:left w:w="0" w:type="dxa"/>
            <w:right w:w="0" w:type="dxa"/>
          </w:tblCellMar>
        </w:tblPrEx>
        <w:trPr>
          <w:cantSplit/>
          <w:trHeight w:val="288"/>
        </w:trPr>
        <w:tc>
          <w:tcPr>
            <w:tcW w:w="3686"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8465C4" w:rsidRPr="00C1320E" w:rsidRDefault="008465C4" w:rsidP="000D6ADD">
            <w:pPr>
              <w:keepNext/>
              <w:ind w:left="75"/>
              <w:rPr>
                <w:rFonts w:ascii="Arial" w:hAnsi="Arial" w:cs="Arial"/>
                <w:color w:val="000000"/>
                <w:sz w:val="24"/>
                <w:szCs w:val="24"/>
              </w:rPr>
            </w:pPr>
            <w:r w:rsidRPr="00C1320E">
              <w:rPr>
                <w:rFonts w:ascii="Arial" w:hAnsi="Arial" w:cs="Arial"/>
                <w:color w:val="000000"/>
                <w:sz w:val="24"/>
                <w:szCs w:val="24"/>
              </w:rPr>
              <w:t>Head teacher on governing body</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True/False</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1</w:t>
            </w:r>
          </w:p>
        </w:tc>
      </w:tr>
      <w:tr w:rsidR="008465C4" w:rsidRPr="00C1320E" w:rsidTr="00C1320E">
        <w:tblPrEx>
          <w:tblCellMar>
            <w:left w:w="0" w:type="dxa"/>
            <w:right w:w="0" w:type="dxa"/>
          </w:tblCellMar>
        </w:tblPrEx>
        <w:trPr>
          <w:cantSplit/>
          <w:trHeight w:val="288"/>
        </w:trPr>
        <w:tc>
          <w:tcPr>
            <w:tcW w:w="3686"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8465C4" w:rsidRPr="00C1320E" w:rsidRDefault="008465C4" w:rsidP="000D6ADD">
            <w:pPr>
              <w:keepNext/>
              <w:ind w:left="75"/>
              <w:rPr>
                <w:rFonts w:ascii="Arial" w:hAnsi="Arial" w:cs="Arial"/>
                <w:color w:val="000000"/>
                <w:sz w:val="24"/>
                <w:szCs w:val="24"/>
              </w:rPr>
            </w:pPr>
            <w:r w:rsidRPr="00C1320E">
              <w:rPr>
                <w:rFonts w:ascii="Arial" w:hAnsi="Arial" w:cs="Arial"/>
                <w:color w:val="000000"/>
                <w:sz w:val="24"/>
                <w:szCs w:val="24"/>
              </w:rPr>
              <w:t>Male serving governors</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Alphanumeric</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3</w:t>
            </w:r>
          </w:p>
        </w:tc>
      </w:tr>
      <w:tr w:rsidR="008465C4" w:rsidRPr="00C1320E" w:rsidTr="00C1320E">
        <w:tblPrEx>
          <w:tblCellMar>
            <w:left w:w="0" w:type="dxa"/>
            <w:right w:w="0" w:type="dxa"/>
          </w:tblCellMar>
        </w:tblPrEx>
        <w:trPr>
          <w:cantSplit/>
          <w:trHeight w:val="288"/>
        </w:trPr>
        <w:tc>
          <w:tcPr>
            <w:tcW w:w="3686"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8465C4" w:rsidRPr="00C1320E" w:rsidRDefault="008465C4" w:rsidP="000D6ADD">
            <w:pPr>
              <w:keepNext/>
              <w:ind w:left="75"/>
              <w:rPr>
                <w:rFonts w:ascii="Arial" w:hAnsi="Arial" w:cs="Arial"/>
                <w:color w:val="000000"/>
                <w:sz w:val="24"/>
                <w:szCs w:val="24"/>
              </w:rPr>
            </w:pPr>
            <w:r w:rsidRPr="00C1320E">
              <w:rPr>
                <w:rFonts w:ascii="Arial" w:hAnsi="Arial" w:cs="Arial"/>
                <w:color w:val="000000"/>
                <w:sz w:val="24"/>
                <w:szCs w:val="24"/>
              </w:rPr>
              <w:t>Female serving governors</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Alphanumeric</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3</w:t>
            </w:r>
          </w:p>
        </w:tc>
      </w:tr>
      <w:tr w:rsidR="008465C4" w:rsidRPr="00C1320E" w:rsidTr="00C1320E">
        <w:tblPrEx>
          <w:tblCellMar>
            <w:left w:w="0" w:type="dxa"/>
            <w:right w:w="0" w:type="dxa"/>
          </w:tblCellMar>
        </w:tblPrEx>
        <w:trPr>
          <w:cantSplit/>
          <w:trHeight w:val="288"/>
        </w:trPr>
        <w:tc>
          <w:tcPr>
            <w:tcW w:w="3686"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8465C4" w:rsidRPr="00C1320E" w:rsidRDefault="008465C4" w:rsidP="000D6ADD">
            <w:pPr>
              <w:keepNext/>
              <w:ind w:left="75"/>
              <w:rPr>
                <w:rFonts w:ascii="Arial" w:hAnsi="Arial" w:cs="Arial"/>
                <w:color w:val="000000"/>
                <w:sz w:val="24"/>
                <w:szCs w:val="24"/>
              </w:rPr>
            </w:pPr>
            <w:r w:rsidRPr="00C1320E">
              <w:rPr>
                <w:rFonts w:ascii="Arial" w:hAnsi="Arial" w:cs="Arial"/>
                <w:color w:val="000000"/>
                <w:sz w:val="24"/>
                <w:szCs w:val="24"/>
              </w:rPr>
              <w:t>Welsh speaking governors</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Alphanumeric</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keepNext/>
              <w:ind w:left="75"/>
              <w:jc w:val="center"/>
              <w:rPr>
                <w:rFonts w:ascii="Arial" w:hAnsi="Arial" w:cs="Arial"/>
                <w:color w:val="000000"/>
                <w:sz w:val="24"/>
                <w:szCs w:val="24"/>
              </w:rPr>
            </w:pPr>
            <w:r w:rsidRPr="00C1320E">
              <w:rPr>
                <w:rFonts w:ascii="Arial" w:hAnsi="Arial" w:cs="Arial"/>
                <w:color w:val="000000"/>
                <w:sz w:val="24"/>
                <w:szCs w:val="24"/>
              </w:rPr>
              <w:t>3</w:t>
            </w:r>
          </w:p>
        </w:tc>
      </w:tr>
      <w:tr w:rsidR="008465C4" w:rsidRPr="00C1320E" w:rsidTr="00C1320E">
        <w:tblPrEx>
          <w:tblCellMar>
            <w:left w:w="0" w:type="dxa"/>
            <w:right w:w="0" w:type="dxa"/>
          </w:tblCellMar>
        </w:tblPrEx>
        <w:trPr>
          <w:cantSplit/>
          <w:trHeight w:val="288"/>
        </w:trPr>
        <w:tc>
          <w:tcPr>
            <w:tcW w:w="3686"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8465C4" w:rsidRPr="00C1320E" w:rsidRDefault="008465C4" w:rsidP="000D6ADD">
            <w:pPr>
              <w:ind w:left="75"/>
              <w:rPr>
                <w:rFonts w:ascii="Arial" w:hAnsi="Arial" w:cs="Arial"/>
                <w:color w:val="000000"/>
                <w:sz w:val="24"/>
                <w:szCs w:val="24"/>
              </w:rPr>
            </w:pPr>
            <w:r w:rsidRPr="00C1320E">
              <w:rPr>
                <w:rFonts w:ascii="Arial" w:hAnsi="Arial" w:cs="Arial"/>
                <w:color w:val="000000"/>
                <w:sz w:val="24"/>
                <w:szCs w:val="24"/>
              </w:rPr>
              <w:t>Governor vacancies</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ind w:left="75"/>
              <w:jc w:val="center"/>
              <w:rPr>
                <w:rFonts w:ascii="Arial" w:hAnsi="Arial" w:cs="Arial"/>
                <w:color w:val="000000"/>
                <w:sz w:val="24"/>
                <w:szCs w:val="24"/>
              </w:rPr>
            </w:pPr>
            <w:r w:rsidRPr="00C1320E">
              <w:rPr>
                <w:rFonts w:ascii="Arial" w:hAnsi="Arial" w:cs="Arial"/>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465C4" w:rsidRPr="00C1320E" w:rsidRDefault="008465C4" w:rsidP="000D6ADD">
            <w:pPr>
              <w:ind w:left="75"/>
              <w:jc w:val="center"/>
              <w:rPr>
                <w:rFonts w:ascii="Arial" w:hAnsi="Arial" w:cs="Arial"/>
                <w:color w:val="000000"/>
                <w:sz w:val="24"/>
                <w:szCs w:val="24"/>
              </w:rPr>
            </w:pPr>
            <w:r w:rsidRPr="00C1320E">
              <w:rPr>
                <w:rFonts w:ascii="Arial" w:hAnsi="Arial" w:cs="Arial"/>
                <w:color w:val="000000"/>
                <w:sz w:val="24"/>
                <w:szCs w:val="24"/>
              </w:rPr>
              <w:t>Alphanumeric</w:t>
            </w:r>
          </w:p>
        </w:tc>
        <w:tc>
          <w:tcPr>
            <w:tcW w:w="1701" w:type="dxa"/>
            <w:tcBorders>
              <w:top w:val="single" w:sz="4" w:space="0" w:color="auto"/>
              <w:left w:val="single" w:sz="4" w:space="0" w:color="auto"/>
              <w:bottom w:val="single" w:sz="4" w:space="0" w:color="auto"/>
              <w:right w:val="single" w:sz="4" w:space="0" w:color="auto"/>
            </w:tcBorders>
          </w:tcPr>
          <w:p w:rsidR="008465C4" w:rsidRPr="00C1320E" w:rsidRDefault="008465C4" w:rsidP="000D6ADD">
            <w:pPr>
              <w:ind w:left="75"/>
              <w:jc w:val="center"/>
              <w:rPr>
                <w:rFonts w:ascii="Arial" w:hAnsi="Arial" w:cs="Arial"/>
                <w:color w:val="000000"/>
                <w:sz w:val="24"/>
                <w:szCs w:val="24"/>
              </w:rPr>
            </w:pPr>
            <w:r w:rsidRPr="00C1320E">
              <w:rPr>
                <w:rFonts w:ascii="Arial" w:hAnsi="Arial" w:cs="Arial"/>
                <w:color w:val="000000"/>
                <w:sz w:val="24"/>
                <w:szCs w:val="24"/>
              </w:rPr>
              <w:t>3</w:t>
            </w:r>
          </w:p>
        </w:tc>
      </w:tr>
    </w:tbl>
    <w:p w:rsidR="008465C4" w:rsidRPr="00C1320E" w:rsidRDefault="008465C4" w:rsidP="008465C4">
      <w:pPr>
        <w:rPr>
          <w:rFonts w:ascii="Trebuchet MS" w:hAnsi="Trebuchet MS"/>
          <w:color w:val="1F497D"/>
          <w:sz w:val="24"/>
          <w:szCs w:val="24"/>
        </w:rPr>
      </w:pPr>
    </w:p>
    <w:p w:rsidR="00901C00" w:rsidRPr="00C1320E" w:rsidRDefault="00901C00" w:rsidP="008465C4">
      <w:pPr>
        <w:rPr>
          <w:rFonts w:ascii="Trebuchet MS" w:hAnsi="Trebuchet MS"/>
          <w:sz w:val="24"/>
          <w:szCs w:val="24"/>
        </w:rPr>
      </w:pPr>
      <w:r w:rsidRPr="00C1320E">
        <w:rPr>
          <w:rFonts w:ascii="Trebuchet MS" w:hAnsi="Trebuchet MS"/>
          <w:sz w:val="24"/>
          <w:szCs w:val="24"/>
        </w:rPr>
        <w:t>Governance options are: Community, Voluntary aided, Voluntary controlled or Foundation</w:t>
      </w:r>
      <w:bookmarkStart w:id="0" w:name="_GoBack"/>
      <w:bookmarkEnd w:id="0"/>
      <w:r w:rsidRPr="00C1320E">
        <w:rPr>
          <w:rFonts w:ascii="Trebuchet MS" w:hAnsi="Trebuchet MS"/>
          <w:sz w:val="24"/>
          <w:szCs w:val="24"/>
        </w:rPr>
        <w:t>.</w:t>
      </w:r>
    </w:p>
    <w:p w:rsidR="00901C00" w:rsidRPr="00C1320E" w:rsidRDefault="00901C00" w:rsidP="008465C4">
      <w:pPr>
        <w:rPr>
          <w:rFonts w:ascii="Trebuchet MS" w:hAnsi="Trebuchet MS"/>
          <w:color w:val="1F497D"/>
          <w:sz w:val="24"/>
          <w:szCs w:val="24"/>
        </w:rPr>
      </w:pPr>
    </w:p>
    <w:p w:rsidR="008465C4" w:rsidRPr="00C1320E" w:rsidRDefault="008465C4">
      <w:pPr>
        <w:rPr>
          <w:rFonts w:ascii="Trebuchet MS" w:hAnsi="Trebuchet MS"/>
          <w:sz w:val="24"/>
          <w:szCs w:val="24"/>
        </w:rPr>
      </w:pPr>
      <w:r w:rsidRPr="00C1320E">
        <w:rPr>
          <w:rFonts w:ascii="Trebuchet MS" w:hAnsi="Trebuchet MS"/>
          <w:sz w:val="24"/>
          <w:szCs w:val="24"/>
        </w:rPr>
        <w:t xml:space="preserve">England’s CBDS does not contain anything </w:t>
      </w:r>
      <w:r w:rsidR="00901C00" w:rsidRPr="00C1320E">
        <w:rPr>
          <w:rFonts w:ascii="Trebuchet MS" w:hAnsi="Trebuchet MS"/>
          <w:sz w:val="24"/>
          <w:szCs w:val="24"/>
        </w:rPr>
        <w:t>suitable to indicate federated schools. Governance options are: Community, Voluntary aided, Voluntary controlled, Foundation, Independent, Non-maintained, CTC or Academy.</w:t>
      </w:r>
    </w:p>
    <w:p w:rsidR="00C1320E" w:rsidRPr="00C1320E" w:rsidRDefault="00C1320E">
      <w:pPr>
        <w:rPr>
          <w:rFonts w:ascii="Trebuchet MS" w:hAnsi="Trebuchet MS"/>
          <w:sz w:val="24"/>
          <w:szCs w:val="24"/>
        </w:rPr>
      </w:pPr>
    </w:p>
    <w:p w:rsidR="00C1320E" w:rsidRPr="00C1320E" w:rsidRDefault="00C1320E">
      <w:pPr>
        <w:rPr>
          <w:rFonts w:ascii="Trebuchet MS" w:hAnsi="Trebuchet MS"/>
          <w:sz w:val="24"/>
          <w:szCs w:val="24"/>
        </w:rPr>
      </w:pPr>
      <w:r w:rsidRPr="00C1320E">
        <w:rPr>
          <w:rFonts w:ascii="Trebuchet MS" w:hAnsi="Trebuchet MS"/>
          <w:sz w:val="24"/>
          <w:szCs w:val="24"/>
        </w:rPr>
        <w:t>A new data i</w:t>
      </w:r>
      <w:r>
        <w:rPr>
          <w:rFonts w:ascii="Trebuchet MS" w:hAnsi="Trebuchet MS"/>
          <w:sz w:val="24"/>
          <w:szCs w:val="24"/>
        </w:rPr>
        <w:t>tem (or</w:t>
      </w:r>
      <w:r w:rsidRPr="00C1320E">
        <w:rPr>
          <w:rFonts w:ascii="Trebuchet MS" w:hAnsi="Trebuchet MS"/>
          <w:sz w:val="24"/>
          <w:szCs w:val="24"/>
        </w:rPr>
        <w:t xml:space="preserve"> items</w:t>
      </w:r>
      <w:r>
        <w:rPr>
          <w:rFonts w:ascii="Trebuchet MS" w:hAnsi="Trebuchet MS"/>
          <w:sz w:val="24"/>
          <w:szCs w:val="24"/>
        </w:rPr>
        <w:t>)</w:t>
      </w:r>
      <w:r w:rsidRPr="00C1320E">
        <w:rPr>
          <w:rFonts w:ascii="Trebuchet MS" w:hAnsi="Trebuchet MS"/>
          <w:sz w:val="24"/>
          <w:szCs w:val="24"/>
        </w:rPr>
        <w:t xml:space="preserve"> may be required for this change.</w:t>
      </w:r>
    </w:p>
    <w:sectPr w:rsidR="00C1320E" w:rsidRPr="00C13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C4"/>
    <w:rsid w:val="002851C9"/>
    <w:rsid w:val="005A3075"/>
    <w:rsid w:val="005C5548"/>
    <w:rsid w:val="008465C4"/>
    <w:rsid w:val="00901C00"/>
    <w:rsid w:val="00B33929"/>
    <w:rsid w:val="00BF6396"/>
    <w:rsid w:val="00C1320E"/>
    <w:rsid w:val="00C63177"/>
    <w:rsid w:val="00F02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C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65C4"/>
    <w:pPr>
      <w:widowControl w:val="0"/>
      <w:tabs>
        <w:tab w:val="center" w:pos="4153"/>
        <w:tab w:val="right" w:pos="8306"/>
      </w:tabs>
    </w:pPr>
    <w:rPr>
      <w:rFonts w:ascii="Arial" w:hAnsi="Arial" w:cs="Arial"/>
    </w:rPr>
  </w:style>
  <w:style w:type="character" w:customStyle="1" w:styleId="HeaderChar">
    <w:name w:val="Header Char"/>
    <w:basedOn w:val="DefaultParagraphFont"/>
    <w:link w:val="Header"/>
    <w:rsid w:val="008465C4"/>
    <w:rPr>
      <w:rFonts w:ascii="Arial" w:eastAsia="Times New Roman" w:hAnsi="Arial" w:cs="Arial"/>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rPr>
      <w:sz w:val="20"/>
      <w:szCs w:val="20"/>
    </w:rPr>
  </w:style>
  <w:style w:type="character" w:customStyle="1" w:styleId="CommentTextChar">
    <w:name w:val="Comment Text Char"/>
    <w:basedOn w:val="DefaultParagraphFont"/>
    <w:link w:val="CommentText"/>
    <w:uiPriority w:val="99"/>
    <w:semiHidden/>
    <w:rsid w:val="00BF639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F6396"/>
    <w:rPr>
      <w:rFonts w:ascii="Tahoma" w:hAnsi="Tahoma" w:cs="Tahoma"/>
      <w:sz w:val="16"/>
      <w:szCs w:val="16"/>
    </w:rPr>
  </w:style>
  <w:style w:type="character" w:customStyle="1" w:styleId="BalloonTextChar">
    <w:name w:val="Balloon Text Char"/>
    <w:basedOn w:val="DefaultParagraphFont"/>
    <w:link w:val="BalloonText"/>
    <w:uiPriority w:val="99"/>
    <w:semiHidden/>
    <w:rsid w:val="00BF63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C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65C4"/>
    <w:pPr>
      <w:widowControl w:val="0"/>
      <w:tabs>
        <w:tab w:val="center" w:pos="4153"/>
        <w:tab w:val="right" w:pos="8306"/>
      </w:tabs>
    </w:pPr>
    <w:rPr>
      <w:rFonts w:ascii="Arial" w:hAnsi="Arial" w:cs="Arial"/>
    </w:rPr>
  </w:style>
  <w:style w:type="character" w:customStyle="1" w:styleId="HeaderChar">
    <w:name w:val="Header Char"/>
    <w:basedOn w:val="DefaultParagraphFont"/>
    <w:link w:val="Header"/>
    <w:rsid w:val="008465C4"/>
    <w:rPr>
      <w:rFonts w:ascii="Arial" w:eastAsia="Times New Roman" w:hAnsi="Arial" w:cs="Arial"/>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rPr>
      <w:sz w:val="20"/>
      <w:szCs w:val="20"/>
    </w:rPr>
  </w:style>
  <w:style w:type="character" w:customStyle="1" w:styleId="CommentTextChar">
    <w:name w:val="Comment Text Char"/>
    <w:basedOn w:val="DefaultParagraphFont"/>
    <w:link w:val="CommentText"/>
    <w:uiPriority w:val="99"/>
    <w:semiHidden/>
    <w:rsid w:val="00BF639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F6396"/>
    <w:rPr>
      <w:rFonts w:ascii="Tahoma" w:hAnsi="Tahoma" w:cs="Tahoma"/>
      <w:sz w:val="16"/>
      <w:szCs w:val="16"/>
    </w:rPr>
  </w:style>
  <w:style w:type="character" w:customStyle="1" w:styleId="BalloonTextChar">
    <w:name w:val="Balloon Text Char"/>
    <w:basedOn w:val="DefaultParagraphFont"/>
    <w:link w:val="BalloonText"/>
    <w:uiPriority w:val="99"/>
    <w:semiHidden/>
    <w:rsid w:val="00BF63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F532EEA8</Template>
  <TotalTime>82</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Claire (DfES - SMED)</dc:creator>
  <cp:keywords/>
  <dc:description/>
  <cp:lastModifiedBy>Horton, Claire (DfES - SMED)</cp:lastModifiedBy>
  <cp:revision>3</cp:revision>
  <dcterms:created xsi:type="dcterms:W3CDTF">2014-01-15T09:55:00Z</dcterms:created>
  <dcterms:modified xsi:type="dcterms:W3CDTF">2014-01-15T11:41:00Z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A6476237</vt:lpwstr>
  </property>
  <property fmtid="{D5CDD505-2E9C-101B-9397-08002B2CF9AE}" pid="4" name="Objective-Title">
    <vt:lpwstr>2014_02_11 Governance paper - C Pickett</vt:lpwstr>
  </property>
  <property fmtid="{D5CDD505-2E9C-101B-9397-08002B2CF9AE}" pid="5" name="Objective-Comment">
    <vt:lpwstr/>
  </property>
  <property fmtid="{D5CDD505-2E9C-101B-9397-08002B2CF9AE}" pid="6" name="Objective-CreationStamp">
    <vt:filetime>2014-01-15T11:03:29Z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2014-01-15T11:41:16Z</vt:filetime>
  </property>
  <property fmtid="{D5CDD505-2E9C-101B-9397-08002B2CF9AE}" pid="11" name="Objective-Owner">
    <vt:lpwstr>Horton, Claire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2014-01-15T00:00:00Z</vt:filetime>
  </property>
  <property fmtid="{D5CDD505-2E9C-101B-9397-08002B2CF9AE}" pid="23" name="Objective-What to Keep [system]">
    <vt:lpwstr>No</vt:lpwstr>
  </property>
  <property fmtid="{D5CDD505-2E9C-101B-9397-08002B2CF9AE}" pid="24" name="Objective-Official Translation [system]">
    <vt:lpwstr/>
  </property>
</Properties>
</file>