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.xml" ContentType="application/vnd.openxmlformats-officedocument.customXml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/docProps/custom.xml" Id="R3cee99b0dd0e4146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4E975" w14:textId="68F5A6FC" w:rsidR="00762698" w:rsidRPr="00762698" w:rsidRDefault="00762698">
      <w:pPr>
        <w:rPr>
          <w:rFonts w:ascii="Arial" w:hAnsi="Arial" w:cs="Arial"/>
          <w:b/>
          <w:bCs/>
          <w:sz w:val="24"/>
          <w:szCs w:val="24"/>
        </w:rPr>
      </w:pPr>
      <w:r w:rsidRPr="00762698">
        <w:rPr>
          <w:rFonts w:ascii="Arial" w:hAnsi="Arial" w:cs="Arial"/>
          <w:b/>
          <w:bCs/>
          <w:sz w:val="24"/>
          <w:szCs w:val="24"/>
        </w:rPr>
        <w:t>Software Development Forum (SDF) – 03/10/202</w:t>
      </w:r>
      <w:r>
        <w:rPr>
          <w:rFonts w:ascii="Arial" w:hAnsi="Arial" w:cs="Arial"/>
          <w:b/>
          <w:bCs/>
          <w:sz w:val="24"/>
          <w:szCs w:val="24"/>
        </w:rPr>
        <w:t>3</w:t>
      </w:r>
    </w:p>
    <w:p w14:paraId="25769E34" w14:textId="363035D5" w:rsidR="00D7757C" w:rsidRPr="00762698" w:rsidRDefault="00762698">
      <w:pPr>
        <w:rPr>
          <w:rFonts w:ascii="Arial" w:hAnsi="Arial" w:cs="Arial"/>
          <w:b/>
          <w:bCs/>
          <w:sz w:val="24"/>
          <w:szCs w:val="24"/>
        </w:rPr>
      </w:pPr>
      <w:r w:rsidRPr="00762698">
        <w:rPr>
          <w:rFonts w:ascii="Arial" w:hAnsi="Arial" w:cs="Arial"/>
          <w:b/>
          <w:bCs/>
          <w:sz w:val="24"/>
          <w:szCs w:val="24"/>
        </w:rPr>
        <w:t xml:space="preserve">Item 11: </w:t>
      </w:r>
      <w:r w:rsidR="00D7757C" w:rsidRPr="00762698">
        <w:rPr>
          <w:rFonts w:ascii="Arial" w:hAnsi="Arial" w:cs="Arial"/>
          <w:b/>
          <w:bCs/>
          <w:sz w:val="24"/>
          <w:szCs w:val="24"/>
        </w:rPr>
        <w:t xml:space="preserve">SWAC </w:t>
      </w:r>
      <w:r w:rsidRPr="00762698">
        <w:rPr>
          <w:rFonts w:ascii="Arial" w:hAnsi="Arial" w:cs="Arial"/>
          <w:b/>
          <w:bCs/>
          <w:sz w:val="24"/>
          <w:szCs w:val="24"/>
        </w:rPr>
        <w:t xml:space="preserve">and </w:t>
      </w:r>
      <w:r w:rsidR="00D7757C" w:rsidRPr="00762698">
        <w:rPr>
          <w:rFonts w:ascii="Arial" w:hAnsi="Arial" w:cs="Arial"/>
          <w:b/>
          <w:bCs/>
          <w:sz w:val="24"/>
          <w:szCs w:val="24"/>
        </w:rPr>
        <w:t xml:space="preserve">PLASC </w:t>
      </w:r>
      <w:r w:rsidRPr="00762698">
        <w:rPr>
          <w:rFonts w:ascii="Arial" w:hAnsi="Arial" w:cs="Arial"/>
          <w:b/>
          <w:bCs/>
          <w:sz w:val="24"/>
          <w:szCs w:val="24"/>
        </w:rPr>
        <w:t xml:space="preserve">workforce data </w:t>
      </w:r>
      <w:r w:rsidR="00D7757C" w:rsidRPr="00762698">
        <w:rPr>
          <w:rFonts w:ascii="Arial" w:hAnsi="Arial" w:cs="Arial"/>
          <w:b/>
          <w:bCs/>
          <w:sz w:val="24"/>
          <w:szCs w:val="24"/>
        </w:rPr>
        <w:t>comparison</w:t>
      </w:r>
      <w:r w:rsidRPr="00762698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529FEEB5" w14:textId="63E6DADE" w:rsidR="00D7757C" w:rsidRDefault="0076269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School Workforce Annual Census (SWAC) was introduced </w:t>
      </w:r>
      <w:r w:rsidR="003E2A71">
        <w:rPr>
          <w:rFonts w:ascii="Arial" w:hAnsi="Arial" w:cs="Arial"/>
          <w:sz w:val="24"/>
          <w:szCs w:val="24"/>
        </w:rPr>
        <w:t xml:space="preserve">in November 2019 to provide comprehensive information on the size, </w:t>
      </w:r>
      <w:proofErr w:type="gramStart"/>
      <w:r w:rsidR="003E2A71">
        <w:rPr>
          <w:rFonts w:ascii="Arial" w:hAnsi="Arial" w:cs="Arial"/>
          <w:sz w:val="24"/>
          <w:szCs w:val="24"/>
        </w:rPr>
        <w:t>demographics</w:t>
      </w:r>
      <w:proofErr w:type="gramEnd"/>
      <w:r w:rsidR="003E2A71">
        <w:rPr>
          <w:rFonts w:ascii="Arial" w:hAnsi="Arial" w:cs="Arial"/>
          <w:sz w:val="24"/>
          <w:szCs w:val="24"/>
        </w:rPr>
        <w:t xml:space="preserve"> and deployment of the school workforce in local </w:t>
      </w:r>
      <w:r w:rsidR="00A5495F">
        <w:rPr>
          <w:rFonts w:ascii="Arial" w:hAnsi="Arial" w:cs="Arial"/>
          <w:sz w:val="24"/>
          <w:szCs w:val="24"/>
        </w:rPr>
        <w:t xml:space="preserve">authority-maintained settings in Wales. The Pupil Level Annual School Census (PLASC) has collected aggregated </w:t>
      </w:r>
      <w:r w:rsidR="00690D3B">
        <w:rPr>
          <w:rFonts w:ascii="Arial" w:hAnsi="Arial" w:cs="Arial"/>
          <w:sz w:val="24"/>
          <w:szCs w:val="24"/>
        </w:rPr>
        <w:t xml:space="preserve">school level data on the workforce since 2003/04. This means that schools are required to complete similar </w:t>
      </w:r>
      <w:r w:rsidR="00C02447">
        <w:rPr>
          <w:rFonts w:ascii="Arial" w:hAnsi="Arial" w:cs="Arial"/>
          <w:sz w:val="24"/>
          <w:szCs w:val="24"/>
        </w:rPr>
        <w:t>information in both collections, increasing workload and burden for schools. It is intended that o</w:t>
      </w:r>
      <w:r w:rsidR="00C02447" w:rsidRPr="00C02447">
        <w:rPr>
          <w:rFonts w:ascii="Arial" w:hAnsi="Arial" w:cs="Arial"/>
          <w:sz w:val="24"/>
          <w:szCs w:val="24"/>
        </w:rPr>
        <w:t>nce SWAC data has undergone full quality assurance</w:t>
      </w:r>
      <w:r w:rsidR="00C02447">
        <w:rPr>
          <w:rFonts w:ascii="Arial" w:hAnsi="Arial" w:cs="Arial"/>
          <w:sz w:val="24"/>
          <w:szCs w:val="24"/>
        </w:rPr>
        <w:t xml:space="preserve"> and any differences between SWAC and PLASC data explained</w:t>
      </w:r>
      <w:r w:rsidR="00C02447" w:rsidRPr="00C02447">
        <w:rPr>
          <w:rFonts w:ascii="Arial" w:hAnsi="Arial" w:cs="Arial"/>
          <w:sz w:val="24"/>
          <w:szCs w:val="24"/>
        </w:rPr>
        <w:t xml:space="preserve">, </w:t>
      </w:r>
      <w:r w:rsidR="00C02447">
        <w:rPr>
          <w:rFonts w:ascii="Arial" w:hAnsi="Arial" w:cs="Arial"/>
          <w:sz w:val="24"/>
          <w:szCs w:val="24"/>
        </w:rPr>
        <w:t>the workforce elements will be removed from the PLASC collection</w:t>
      </w:r>
      <w:r w:rsidR="00C02447" w:rsidRPr="00C02447">
        <w:rPr>
          <w:rFonts w:ascii="Arial" w:hAnsi="Arial" w:cs="Arial"/>
          <w:sz w:val="24"/>
          <w:szCs w:val="24"/>
        </w:rPr>
        <w:t>.</w:t>
      </w:r>
    </w:p>
    <w:p w14:paraId="193F175C" w14:textId="3E0FF0BB" w:rsidR="00C02447" w:rsidRDefault="00C0244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</w:t>
      </w:r>
      <w:r w:rsidR="00EA5B1C">
        <w:rPr>
          <w:rFonts w:ascii="Arial" w:hAnsi="Arial" w:cs="Arial"/>
          <w:sz w:val="24"/>
          <w:szCs w:val="24"/>
        </w:rPr>
        <w:t>following modules relating to the workforce are included in PLASC:</w:t>
      </w:r>
    </w:p>
    <w:p w14:paraId="17610128" w14:textId="43997B39" w:rsidR="00EA5B1C" w:rsidRPr="00D61A86" w:rsidRDefault="00EA5B1C" w:rsidP="00D61A86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D61A86">
        <w:rPr>
          <w:rFonts w:ascii="Arial" w:hAnsi="Arial" w:cs="Arial"/>
          <w:sz w:val="24"/>
          <w:szCs w:val="24"/>
        </w:rPr>
        <w:t>Teachers</w:t>
      </w:r>
    </w:p>
    <w:p w14:paraId="470713EB" w14:textId="71DAED79" w:rsidR="00EA5B1C" w:rsidRPr="00D61A86" w:rsidRDefault="00EA5B1C" w:rsidP="00D61A86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D61A86">
        <w:rPr>
          <w:rFonts w:ascii="Arial" w:hAnsi="Arial" w:cs="Arial"/>
          <w:sz w:val="24"/>
          <w:szCs w:val="24"/>
        </w:rPr>
        <w:t>Teaching of Welsh</w:t>
      </w:r>
    </w:p>
    <w:p w14:paraId="68C4F9AF" w14:textId="4A6BCB44" w:rsidR="00EA5B1C" w:rsidRPr="00D61A86" w:rsidRDefault="00EA5B1C" w:rsidP="00D61A86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D61A86">
        <w:rPr>
          <w:rFonts w:ascii="Arial" w:hAnsi="Arial" w:cs="Arial"/>
          <w:sz w:val="24"/>
          <w:szCs w:val="24"/>
        </w:rPr>
        <w:t>Support Staff</w:t>
      </w:r>
    </w:p>
    <w:p w14:paraId="57104492" w14:textId="1CB2A4A0" w:rsidR="00EA5B1C" w:rsidRPr="00D61A86" w:rsidRDefault="00EA5B1C" w:rsidP="00D61A86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D61A86">
        <w:rPr>
          <w:rFonts w:ascii="Arial" w:hAnsi="Arial" w:cs="Arial"/>
          <w:sz w:val="24"/>
          <w:szCs w:val="24"/>
        </w:rPr>
        <w:t>Teacher Recruitment</w:t>
      </w:r>
    </w:p>
    <w:p w14:paraId="3494B36A" w14:textId="7F2203D7" w:rsidR="00EA5B1C" w:rsidRPr="00D61A86" w:rsidRDefault="00EA5B1C" w:rsidP="00D61A86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D61A86">
        <w:rPr>
          <w:rFonts w:ascii="Arial" w:hAnsi="Arial" w:cs="Arial"/>
          <w:sz w:val="24"/>
          <w:szCs w:val="24"/>
        </w:rPr>
        <w:t>Teacher Retention</w:t>
      </w:r>
    </w:p>
    <w:p w14:paraId="5D3FAA2B" w14:textId="11E60BCF" w:rsidR="00EA5B1C" w:rsidRPr="00D61A86" w:rsidRDefault="00D61A86" w:rsidP="00D61A86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D61A86">
        <w:rPr>
          <w:rFonts w:ascii="Arial" w:hAnsi="Arial" w:cs="Arial"/>
          <w:sz w:val="24"/>
          <w:szCs w:val="24"/>
        </w:rPr>
        <w:t>Special schools Details (includes information on teacher qualifications)</w:t>
      </w:r>
    </w:p>
    <w:p w14:paraId="0EDCE79F" w14:textId="64774A19" w:rsidR="00D61A86" w:rsidRDefault="00D61A86" w:rsidP="00D61A86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D61A86">
        <w:rPr>
          <w:rFonts w:ascii="Arial" w:hAnsi="Arial" w:cs="Arial"/>
          <w:sz w:val="24"/>
          <w:szCs w:val="24"/>
        </w:rPr>
        <w:t>Classes (includes number of teachers and non-teachers per class)</w:t>
      </w:r>
    </w:p>
    <w:p w14:paraId="3EBE50AE" w14:textId="33772628" w:rsidR="00D61A86" w:rsidRPr="00D61A86" w:rsidRDefault="00D61A86" w:rsidP="00D61A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following tables provides a </w:t>
      </w:r>
      <w:proofErr w:type="gramStart"/>
      <w:r>
        <w:rPr>
          <w:rFonts w:ascii="Arial" w:hAnsi="Arial" w:cs="Arial"/>
          <w:sz w:val="24"/>
          <w:szCs w:val="24"/>
        </w:rPr>
        <w:t>high level</w:t>
      </w:r>
      <w:proofErr w:type="gramEnd"/>
      <w:r>
        <w:rPr>
          <w:rFonts w:ascii="Arial" w:hAnsi="Arial" w:cs="Arial"/>
          <w:sz w:val="24"/>
          <w:szCs w:val="24"/>
        </w:rPr>
        <w:t xml:space="preserve"> comparison of workforce data from SWAC and PLASC. </w:t>
      </w:r>
    </w:p>
    <w:p w14:paraId="5C9569F9" w14:textId="716D8623" w:rsidR="00D7757C" w:rsidRPr="00690D3B" w:rsidRDefault="00690D3B">
      <w:pPr>
        <w:rPr>
          <w:rFonts w:ascii="Arial" w:hAnsi="Arial" w:cs="Arial"/>
          <w:b/>
          <w:bCs/>
          <w:sz w:val="24"/>
          <w:szCs w:val="24"/>
        </w:rPr>
      </w:pPr>
      <w:r w:rsidRPr="00690D3B">
        <w:rPr>
          <w:rFonts w:ascii="Arial" w:hAnsi="Arial" w:cs="Arial"/>
          <w:b/>
          <w:bCs/>
          <w:sz w:val="24"/>
          <w:szCs w:val="24"/>
        </w:rPr>
        <w:t xml:space="preserve">Table 1: </w:t>
      </w:r>
      <w:r w:rsidR="00D7757C" w:rsidRPr="00690D3B">
        <w:rPr>
          <w:rFonts w:ascii="Arial" w:hAnsi="Arial" w:cs="Arial"/>
          <w:b/>
          <w:bCs/>
          <w:sz w:val="24"/>
          <w:szCs w:val="24"/>
        </w:rPr>
        <w:t>Qualified Teachers FTE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3"/>
        <w:gridCol w:w="2245"/>
        <w:gridCol w:w="2245"/>
        <w:gridCol w:w="2245"/>
      </w:tblGrid>
      <w:tr w:rsidR="00C02447" w:rsidRPr="00D7757C" w14:paraId="698F1E85" w14:textId="77777777" w:rsidTr="00D7757C">
        <w:trPr>
          <w:trHeight w:val="454"/>
        </w:trPr>
        <w:tc>
          <w:tcPr>
            <w:tcW w:w="2243" w:type="dxa"/>
          </w:tcPr>
          <w:p w14:paraId="6B0F5596" w14:textId="77777777" w:rsidR="00C02447" w:rsidRPr="00D7757C" w:rsidRDefault="00C02447" w:rsidP="00C0244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5" w:type="dxa"/>
          </w:tcPr>
          <w:p w14:paraId="46535D6B" w14:textId="1577CF66" w:rsidR="00C02447" w:rsidRPr="00D7757C" w:rsidRDefault="00C02447" w:rsidP="00C024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2020/2</w:t>
            </w:r>
            <w:r w:rsidRPr="00D7757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245" w:type="dxa"/>
          </w:tcPr>
          <w:p w14:paraId="0733AA84" w14:textId="5E7824F8" w:rsidR="00C02447" w:rsidRPr="00D7757C" w:rsidRDefault="00C02447" w:rsidP="00C024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57C">
              <w:rPr>
                <w:rFonts w:ascii="Arial" w:hAnsi="Arial" w:cs="Arial"/>
                <w:sz w:val="24"/>
                <w:szCs w:val="24"/>
              </w:rPr>
              <w:t>2021</w:t>
            </w:r>
            <w:r>
              <w:rPr>
                <w:rFonts w:ascii="Arial" w:hAnsi="Arial" w:cs="Arial"/>
                <w:sz w:val="24"/>
                <w:szCs w:val="24"/>
              </w:rPr>
              <w:t>/22</w:t>
            </w:r>
          </w:p>
        </w:tc>
        <w:tc>
          <w:tcPr>
            <w:tcW w:w="2245" w:type="dxa"/>
          </w:tcPr>
          <w:p w14:paraId="642138DB" w14:textId="26849D2B" w:rsidR="00C02447" w:rsidRPr="00D7757C" w:rsidRDefault="00C02447" w:rsidP="00C024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2022/23</w:t>
            </w:r>
          </w:p>
        </w:tc>
      </w:tr>
      <w:tr w:rsidR="00D7757C" w:rsidRPr="00D7757C" w14:paraId="332F9E91" w14:textId="77777777" w:rsidTr="00D7757C">
        <w:trPr>
          <w:trHeight w:val="454"/>
        </w:trPr>
        <w:tc>
          <w:tcPr>
            <w:tcW w:w="2243" w:type="dxa"/>
          </w:tcPr>
          <w:p w14:paraId="3292C2E9" w14:textId="77777777" w:rsidR="00D7757C" w:rsidRPr="00D7757C" w:rsidRDefault="00D7757C">
            <w:pPr>
              <w:rPr>
                <w:rFonts w:ascii="Arial" w:hAnsi="Arial" w:cs="Arial"/>
                <w:sz w:val="24"/>
                <w:szCs w:val="24"/>
              </w:rPr>
            </w:pPr>
            <w:r w:rsidRPr="00D7757C">
              <w:rPr>
                <w:rFonts w:ascii="Arial" w:hAnsi="Arial" w:cs="Arial"/>
                <w:sz w:val="24"/>
                <w:szCs w:val="24"/>
              </w:rPr>
              <w:t>SWAC</w:t>
            </w:r>
          </w:p>
        </w:tc>
        <w:tc>
          <w:tcPr>
            <w:tcW w:w="2245" w:type="dxa"/>
          </w:tcPr>
          <w:p w14:paraId="434C4261" w14:textId="2A676AF0" w:rsidR="00D7757C" w:rsidRPr="00D7757C" w:rsidRDefault="00D7757C" w:rsidP="00C0244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7757C">
              <w:rPr>
                <w:rFonts w:ascii="Arial" w:hAnsi="Arial" w:cs="Arial"/>
                <w:sz w:val="24"/>
                <w:szCs w:val="24"/>
              </w:rPr>
              <w:t>23</w:t>
            </w:r>
            <w:r w:rsidR="00C02447">
              <w:rPr>
                <w:rFonts w:ascii="Arial" w:hAnsi="Arial" w:cs="Arial"/>
                <w:sz w:val="24"/>
                <w:szCs w:val="24"/>
              </w:rPr>
              <w:t>,</w:t>
            </w:r>
            <w:r w:rsidRPr="00D7757C">
              <w:rPr>
                <w:rFonts w:ascii="Arial" w:hAnsi="Arial" w:cs="Arial"/>
                <w:sz w:val="24"/>
                <w:szCs w:val="24"/>
              </w:rPr>
              <w:t>985</w:t>
            </w:r>
          </w:p>
        </w:tc>
        <w:tc>
          <w:tcPr>
            <w:tcW w:w="2245" w:type="dxa"/>
          </w:tcPr>
          <w:p w14:paraId="5F9B65FE" w14:textId="5C7E4F6E" w:rsidR="00D7757C" w:rsidRPr="00D7757C" w:rsidRDefault="00D7757C" w:rsidP="00C0244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7757C">
              <w:rPr>
                <w:rFonts w:ascii="Arial" w:hAnsi="Arial" w:cs="Arial"/>
                <w:sz w:val="24"/>
                <w:szCs w:val="24"/>
              </w:rPr>
              <w:t>24</w:t>
            </w:r>
            <w:r w:rsidR="00C02447">
              <w:rPr>
                <w:rFonts w:ascii="Arial" w:hAnsi="Arial" w:cs="Arial"/>
                <w:sz w:val="24"/>
                <w:szCs w:val="24"/>
              </w:rPr>
              <w:t>,</w:t>
            </w:r>
            <w:r w:rsidRPr="00D7757C">
              <w:rPr>
                <w:rFonts w:ascii="Arial" w:hAnsi="Arial" w:cs="Arial"/>
                <w:sz w:val="24"/>
                <w:szCs w:val="24"/>
              </w:rPr>
              <w:t>700</w:t>
            </w:r>
          </w:p>
        </w:tc>
        <w:tc>
          <w:tcPr>
            <w:tcW w:w="2245" w:type="dxa"/>
          </w:tcPr>
          <w:p w14:paraId="67A4AA8C" w14:textId="74BA0B6B" w:rsidR="00D7757C" w:rsidRPr="00D7757C" w:rsidRDefault="00D7757C" w:rsidP="00C0244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7757C">
              <w:rPr>
                <w:rFonts w:ascii="Arial" w:hAnsi="Arial" w:cs="Arial"/>
                <w:sz w:val="24"/>
                <w:szCs w:val="24"/>
              </w:rPr>
              <w:t>24</w:t>
            </w:r>
            <w:r w:rsidR="00C02447">
              <w:rPr>
                <w:rFonts w:ascii="Arial" w:hAnsi="Arial" w:cs="Arial"/>
                <w:sz w:val="24"/>
                <w:szCs w:val="24"/>
              </w:rPr>
              <w:t>,</w:t>
            </w:r>
            <w:r w:rsidRPr="00D7757C">
              <w:rPr>
                <w:rFonts w:ascii="Arial" w:hAnsi="Arial" w:cs="Arial"/>
                <w:sz w:val="24"/>
                <w:szCs w:val="24"/>
              </w:rPr>
              <w:t>640</w:t>
            </w:r>
          </w:p>
        </w:tc>
      </w:tr>
      <w:tr w:rsidR="00D7757C" w:rsidRPr="00D7757C" w14:paraId="45B15DE5" w14:textId="77777777" w:rsidTr="00D7757C">
        <w:trPr>
          <w:trHeight w:val="454"/>
        </w:trPr>
        <w:tc>
          <w:tcPr>
            <w:tcW w:w="2243" w:type="dxa"/>
          </w:tcPr>
          <w:p w14:paraId="44E2F51F" w14:textId="77777777" w:rsidR="00D7757C" w:rsidRPr="00D7757C" w:rsidRDefault="00D7757C">
            <w:pPr>
              <w:rPr>
                <w:rFonts w:ascii="Arial" w:hAnsi="Arial" w:cs="Arial"/>
                <w:sz w:val="24"/>
                <w:szCs w:val="24"/>
              </w:rPr>
            </w:pPr>
            <w:r w:rsidRPr="00D7757C">
              <w:rPr>
                <w:rFonts w:ascii="Arial" w:hAnsi="Arial" w:cs="Arial"/>
                <w:sz w:val="24"/>
                <w:szCs w:val="24"/>
              </w:rPr>
              <w:t>PLASC</w:t>
            </w:r>
          </w:p>
        </w:tc>
        <w:tc>
          <w:tcPr>
            <w:tcW w:w="2245" w:type="dxa"/>
          </w:tcPr>
          <w:p w14:paraId="51E274F0" w14:textId="45186692" w:rsidR="00D7757C" w:rsidRPr="00D7757C" w:rsidRDefault="00D7757C" w:rsidP="00C0244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7757C">
              <w:rPr>
                <w:rFonts w:ascii="Arial" w:hAnsi="Arial" w:cs="Arial"/>
                <w:sz w:val="24"/>
                <w:szCs w:val="24"/>
              </w:rPr>
              <w:t>24</w:t>
            </w:r>
            <w:r w:rsidR="00C02447">
              <w:rPr>
                <w:rFonts w:ascii="Arial" w:hAnsi="Arial" w:cs="Arial"/>
                <w:sz w:val="24"/>
                <w:szCs w:val="24"/>
              </w:rPr>
              <w:t>,</w:t>
            </w:r>
            <w:r w:rsidRPr="00D7757C">
              <w:rPr>
                <w:rFonts w:ascii="Arial" w:hAnsi="Arial" w:cs="Arial"/>
                <w:sz w:val="24"/>
                <w:szCs w:val="24"/>
              </w:rPr>
              <w:t>660</w:t>
            </w:r>
          </w:p>
        </w:tc>
        <w:tc>
          <w:tcPr>
            <w:tcW w:w="2245" w:type="dxa"/>
          </w:tcPr>
          <w:p w14:paraId="77ACEA62" w14:textId="79F84913" w:rsidR="00D7757C" w:rsidRPr="00D7757C" w:rsidRDefault="00D7757C" w:rsidP="00C0244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7757C">
              <w:rPr>
                <w:rFonts w:ascii="Arial" w:hAnsi="Arial" w:cs="Arial"/>
                <w:sz w:val="24"/>
                <w:szCs w:val="24"/>
              </w:rPr>
              <w:t>25</w:t>
            </w:r>
            <w:r w:rsidR="00C02447">
              <w:rPr>
                <w:rFonts w:ascii="Arial" w:hAnsi="Arial" w:cs="Arial"/>
                <w:sz w:val="24"/>
                <w:szCs w:val="24"/>
              </w:rPr>
              <w:t>,</w:t>
            </w:r>
            <w:r w:rsidRPr="00D7757C">
              <w:rPr>
                <w:rFonts w:ascii="Arial" w:hAnsi="Arial" w:cs="Arial"/>
                <w:sz w:val="24"/>
                <w:szCs w:val="24"/>
              </w:rPr>
              <w:t>210</w:t>
            </w:r>
          </w:p>
        </w:tc>
        <w:tc>
          <w:tcPr>
            <w:tcW w:w="2245" w:type="dxa"/>
          </w:tcPr>
          <w:p w14:paraId="3FA8B194" w14:textId="20550D9F" w:rsidR="00D7757C" w:rsidRPr="00D7757C" w:rsidRDefault="00D7757C" w:rsidP="00C0244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7757C">
              <w:rPr>
                <w:rFonts w:ascii="Arial" w:hAnsi="Arial" w:cs="Arial"/>
                <w:sz w:val="24"/>
                <w:szCs w:val="24"/>
              </w:rPr>
              <w:t>25</w:t>
            </w:r>
            <w:r w:rsidR="00C02447">
              <w:rPr>
                <w:rFonts w:ascii="Arial" w:hAnsi="Arial" w:cs="Arial"/>
                <w:sz w:val="24"/>
                <w:szCs w:val="24"/>
              </w:rPr>
              <w:t>,</w:t>
            </w:r>
            <w:r w:rsidRPr="00D7757C">
              <w:rPr>
                <w:rFonts w:ascii="Arial" w:hAnsi="Arial" w:cs="Arial"/>
                <w:sz w:val="24"/>
                <w:szCs w:val="24"/>
              </w:rPr>
              <w:t>390</w:t>
            </w:r>
          </w:p>
        </w:tc>
      </w:tr>
    </w:tbl>
    <w:p w14:paraId="406BFFF2" w14:textId="77777777" w:rsidR="00D7757C" w:rsidRDefault="00D7757C">
      <w:pPr>
        <w:rPr>
          <w:rFonts w:ascii="Arial" w:hAnsi="Arial" w:cs="Arial"/>
          <w:sz w:val="24"/>
          <w:szCs w:val="24"/>
        </w:rPr>
      </w:pPr>
    </w:p>
    <w:p w14:paraId="0A46B405" w14:textId="44F75AB8" w:rsidR="00EE52DE" w:rsidRDefault="00EE52DE" w:rsidP="00EE52DE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20</w:t>
      </w:r>
      <w:r w:rsidR="00A3617B">
        <w:rPr>
          <w:rFonts w:ascii="Arial" w:hAnsi="Arial" w:cs="Arial"/>
          <w:sz w:val="24"/>
          <w:szCs w:val="24"/>
        </w:rPr>
        <w:t>22</w:t>
      </w:r>
      <w:r>
        <w:rPr>
          <w:rFonts w:ascii="Arial" w:hAnsi="Arial" w:cs="Arial"/>
          <w:sz w:val="24"/>
          <w:szCs w:val="24"/>
        </w:rPr>
        <w:t>/</w:t>
      </w:r>
      <w:r w:rsidR="00A3617B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2</w:t>
      </w:r>
      <w:r w:rsidR="00A3617B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 the FTE of qualified teachers was </w:t>
      </w:r>
      <w:r w:rsidR="00A3617B">
        <w:rPr>
          <w:rFonts w:ascii="Arial" w:hAnsi="Arial" w:cs="Arial"/>
          <w:sz w:val="24"/>
          <w:szCs w:val="24"/>
        </w:rPr>
        <w:t xml:space="preserve">2.9% </w:t>
      </w:r>
      <w:r>
        <w:rPr>
          <w:rFonts w:ascii="Arial" w:hAnsi="Arial" w:cs="Arial"/>
          <w:sz w:val="24"/>
          <w:szCs w:val="24"/>
        </w:rPr>
        <w:t xml:space="preserve">lower in the SWAC collection than PLASC collection. </w:t>
      </w:r>
    </w:p>
    <w:p w14:paraId="5574D3C5" w14:textId="5AFBB505" w:rsidR="00EE52DE" w:rsidRDefault="00A3617B" w:rsidP="00EE52DE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This remained relatively </w:t>
      </w:r>
      <w:proofErr w:type="gramStart"/>
      <w:r>
        <w:rPr>
          <w:rFonts w:ascii="Arial" w:hAnsi="Arial" w:cs="Arial"/>
          <w:sz w:val="24"/>
          <w:szCs w:val="24"/>
        </w:rPr>
        <w:t>similar to</w:t>
      </w:r>
      <w:proofErr w:type="gramEnd"/>
      <w:r>
        <w:rPr>
          <w:rFonts w:ascii="Arial" w:hAnsi="Arial" w:cs="Arial"/>
          <w:sz w:val="24"/>
          <w:szCs w:val="24"/>
        </w:rPr>
        <w:t xml:space="preserve"> previous</w:t>
      </w:r>
      <w:r w:rsidR="00EE52DE">
        <w:rPr>
          <w:rFonts w:ascii="Arial" w:hAnsi="Arial" w:cs="Arial"/>
          <w:sz w:val="24"/>
          <w:szCs w:val="24"/>
        </w:rPr>
        <w:t xml:space="preserve"> collections with SWAC reporting 2% lower in 2021/</w:t>
      </w:r>
      <w:r>
        <w:rPr>
          <w:rFonts w:ascii="Arial" w:hAnsi="Arial" w:cs="Arial"/>
          <w:sz w:val="24"/>
          <w:szCs w:val="24"/>
        </w:rPr>
        <w:t>20</w:t>
      </w:r>
      <w:r w:rsidR="00EE52DE">
        <w:rPr>
          <w:rFonts w:ascii="Arial" w:hAnsi="Arial" w:cs="Arial"/>
          <w:sz w:val="24"/>
          <w:szCs w:val="24"/>
        </w:rPr>
        <w:t>22 and 2.</w:t>
      </w:r>
      <w:r>
        <w:rPr>
          <w:rFonts w:ascii="Arial" w:hAnsi="Arial" w:cs="Arial"/>
          <w:sz w:val="24"/>
          <w:szCs w:val="24"/>
        </w:rPr>
        <w:t>7</w:t>
      </w:r>
      <w:r w:rsidR="00EE52DE">
        <w:rPr>
          <w:rFonts w:ascii="Arial" w:hAnsi="Arial" w:cs="Arial"/>
          <w:sz w:val="24"/>
          <w:szCs w:val="24"/>
        </w:rPr>
        <w:t>% lower in 202</w:t>
      </w:r>
      <w:r>
        <w:rPr>
          <w:rFonts w:ascii="Arial" w:hAnsi="Arial" w:cs="Arial"/>
          <w:sz w:val="24"/>
          <w:szCs w:val="24"/>
        </w:rPr>
        <w:t>0</w:t>
      </w:r>
      <w:r w:rsidR="00EE52DE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2021</w:t>
      </w:r>
      <w:r w:rsidR="00EE52DE">
        <w:rPr>
          <w:rFonts w:ascii="Arial" w:hAnsi="Arial" w:cs="Arial"/>
          <w:sz w:val="24"/>
          <w:szCs w:val="24"/>
        </w:rPr>
        <w:t xml:space="preserve">. </w:t>
      </w:r>
    </w:p>
    <w:p w14:paraId="7DED0FFE" w14:textId="77777777" w:rsidR="00EE52DE" w:rsidRPr="00EE52DE" w:rsidRDefault="00EE52DE" w:rsidP="00EE52DE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Potential considerations for the </w:t>
      </w:r>
      <w:r w:rsidR="000319A4">
        <w:rPr>
          <w:rFonts w:ascii="Arial" w:hAnsi="Arial" w:cs="Arial"/>
          <w:sz w:val="24"/>
          <w:szCs w:val="24"/>
        </w:rPr>
        <w:t>larger difference between SWAC and PLASC</w:t>
      </w:r>
      <w:r>
        <w:rPr>
          <w:rFonts w:ascii="Arial" w:hAnsi="Arial" w:cs="Arial"/>
          <w:sz w:val="24"/>
          <w:szCs w:val="24"/>
        </w:rPr>
        <w:t xml:space="preserve"> in 2022/23 can be found in the SWAC release </w:t>
      </w:r>
      <w:r w:rsidR="000319A4">
        <w:rPr>
          <w:rFonts w:ascii="Arial" w:hAnsi="Arial" w:cs="Arial"/>
          <w:sz w:val="24"/>
          <w:szCs w:val="24"/>
        </w:rPr>
        <w:t>such as RRRS funding.</w:t>
      </w:r>
    </w:p>
    <w:p w14:paraId="0A8B84E7" w14:textId="3E69CC59" w:rsidR="00D7757C" w:rsidRPr="00690D3B" w:rsidRDefault="00690D3B">
      <w:pPr>
        <w:rPr>
          <w:rFonts w:ascii="Arial" w:hAnsi="Arial" w:cs="Arial"/>
          <w:b/>
          <w:bCs/>
          <w:sz w:val="24"/>
          <w:szCs w:val="24"/>
        </w:rPr>
      </w:pPr>
      <w:r w:rsidRPr="00690D3B">
        <w:rPr>
          <w:rFonts w:ascii="Arial" w:hAnsi="Arial" w:cs="Arial"/>
          <w:b/>
          <w:bCs/>
          <w:sz w:val="24"/>
          <w:szCs w:val="24"/>
        </w:rPr>
        <w:t xml:space="preserve">Table 2: </w:t>
      </w:r>
      <w:r w:rsidR="00D7757C" w:rsidRPr="00690D3B">
        <w:rPr>
          <w:rFonts w:ascii="Arial" w:hAnsi="Arial" w:cs="Arial"/>
          <w:b/>
          <w:bCs/>
          <w:sz w:val="24"/>
          <w:szCs w:val="24"/>
        </w:rPr>
        <w:t>Qualified Teachers Headcount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3C1709" w:rsidRPr="00D7757C" w14:paraId="58D6EAE9" w14:textId="77777777" w:rsidTr="00D7757C">
        <w:trPr>
          <w:trHeight w:val="454"/>
        </w:trPr>
        <w:tc>
          <w:tcPr>
            <w:tcW w:w="2254" w:type="dxa"/>
          </w:tcPr>
          <w:p w14:paraId="25764EB0" w14:textId="77777777" w:rsidR="003C1709" w:rsidRPr="00D7757C" w:rsidRDefault="003C1709" w:rsidP="003C170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4" w:type="dxa"/>
          </w:tcPr>
          <w:p w14:paraId="46B57554" w14:textId="466E0967" w:rsidR="003C1709" w:rsidRPr="00D7757C" w:rsidRDefault="00690D3B" w:rsidP="00C024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2020/2</w:t>
            </w:r>
            <w:r w:rsidR="003C1709" w:rsidRPr="00D7757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254" w:type="dxa"/>
          </w:tcPr>
          <w:p w14:paraId="3A62E49E" w14:textId="018A7890" w:rsidR="003C1709" w:rsidRPr="00D7757C" w:rsidRDefault="003C1709" w:rsidP="00C024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57C">
              <w:rPr>
                <w:rFonts w:ascii="Arial" w:hAnsi="Arial" w:cs="Arial"/>
                <w:sz w:val="24"/>
                <w:szCs w:val="24"/>
              </w:rPr>
              <w:t>2021</w:t>
            </w:r>
            <w:r w:rsidR="00690D3B">
              <w:rPr>
                <w:rFonts w:ascii="Arial" w:hAnsi="Arial" w:cs="Arial"/>
                <w:sz w:val="24"/>
                <w:szCs w:val="24"/>
              </w:rPr>
              <w:t>/22</w:t>
            </w:r>
          </w:p>
        </w:tc>
        <w:tc>
          <w:tcPr>
            <w:tcW w:w="2254" w:type="dxa"/>
          </w:tcPr>
          <w:p w14:paraId="7EE957B6" w14:textId="0CEB092B" w:rsidR="003C1709" w:rsidRPr="00D7757C" w:rsidRDefault="00C02447" w:rsidP="00C024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2022/23</w:t>
            </w:r>
          </w:p>
        </w:tc>
      </w:tr>
      <w:tr w:rsidR="00D7757C" w:rsidRPr="00D7757C" w14:paraId="1B411151" w14:textId="77777777" w:rsidTr="00D7757C">
        <w:trPr>
          <w:trHeight w:val="454"/>
        </w:trPr>
        <w:tc>
          <w:tcPr>
            <w:tcW w:w="2254" w:type="dxa"/>
          </w:tcPr>
          <w:p w14:paraId="47FEC7FB" w14:textId="77777777" w:rsidR="00D7757C" w:rsidRPr="00D7757C" w:rsidRDefault="00D7757C" w:rsidP="00D7757C">
            <w:pPr>
              <w:rPr>
                <w:rFonts w:ascii="Arial" w:hAnsi="Arial" w:cs="Arial"/>
                <w:sz w:val="24"/>
                <w:szCs w:val="24"/>
              </w:rPr>
            </w:pPr>
            <w:r w:rsidRPr="00D7757C">
              <w:rPr>
                <w:rFonts w:ascii="Arial" w:hAnsi="Arial" w:cs="Arial"/>
                <w:sz w:val="24"/>
                <w:szCs w:val="24"/>
              </w:rPr>
              <w:t>SWAC</w:t>
            </w:r>
          </w:p>
        </w:tc>
        <w:tc>
          <w:tcPr>
            <w:tcW w:w="2254" w:type="dxa"/>
          </w:tcPr>
          <w:p w14:paraId="144AD223" w14:textId="5423D4DE" w:rsidR="00D7757C" w:rsidRPr="00D7757C" w:rsidRDefault="00D7757C" w:rsidP="00C0244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757C">
              <w:rPr>
                <w:rFonts w:ascii="Arial" w:hAnsi="Arial" w:cs="Arial"/>
                <w:color w:val="000000"/>
                <w:sz w:val="24"/>
                <w:szCs w:val="24"/>
              </w:rPr>
              <w:t>25</w:t>
            </w:r>
            <w:r w:rsidR="00C02447"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  <w:r w:rsidRPr="00D7757C">
              <w:rPr>
                <w:rFonts w:ascii="Arial" w:hAnsi="Arial" w:cs="Arial"/>
                <w:color w:val="000000"/>
                <w:sz w:val="24"/>
                <w:szCs w:val="24"/>
              </w:rPr>
              <w:t>930</w:t>
            </w:r>
          </w:p>
        </w:tc>
        <w:tc>
          <w:tcPr>
            <w:tcW w:w="2254" w:type="dxa"/>
          </w:tcPr>
          <w:p w14:paraId="156C360D" w14:textId="021C910B" w:rsidR="00D7757C" w:rsidRPr="00D7757C" w:rsidRDefault="00D7757C" w:rsidP="00C0244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757C">
              <w:rPr>
                <w:rFonts w:ascii="Arial" w:hAnsi="Arial" w:cs="Arial"/>
                <w:color w:val="000000"/>
                <w:sz w:val="24"/>
                <w:szCs w:val="24"/>
              </w:rPr>
              <w:t>26</w:t>
            </w:r>
            <w:r w:rsidR="00C02447"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  <w:r w:rsidRPr="00D7757C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54" w:type="dxa"/>
          </w:tcPr>
          <w:p w14:paraId="73624013" w14:textId="0087504E" w:rsidR="00D7757C" w:rsidRPr="00D7757C" w:rsidRDefault="00D7757C" w:rsidP="00C0244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757C">
              <w:rPr>
                <w:rFonts w:ascii="Arial" w:hAnsi="Arial" w:cs="Arial"/>
                <w:color w:val="000000"/>
                <w:sz w:val="24"/>
                <w:szCs w:val="24"/>
              </w:rPr>
              <w:t>26</w:t>
            </w:r>
            <w:r w:rsidR="00C02447"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  <w:r w:rsidRPr="00D7757C">
              <w:rPr>
                <w:rFonts w:ascii="Arial" w:hAnsi="Arial" w:cs="Arial"/>
                <w:color w:val="000000"/>
                <w:sz w:val="24"/>
                <w:szCs w:val="24"/>
              </w:rPr>
              <w:t>445</w:t>
            </w:r>
          </w:p>
        </w:tc>
      </w:tr>
      <w:tr w:rsidR="00D7757C" w:rsidRPr="00D7757C" w14:paraId="6F7FB019" w14:textId="77777777" w:rsidTr="00D7757C">
        <w:trPr>
          <w:trHeight w:val="454"/>
        </w:trPr>
        <w:tc>
          <w:tcPr>
            <w:tcW w:w="2254" w:type="dxa"/>
          </w:tcPr>
          <w:p w14:paraId="2A420002" w14:textId="77777777" w:rsidR="00D7757C" w:rsidRPr="00D7757C" w:rsidRDefault="00D7757C" w:rsidP="00D7757C">
            <w:pPr>
              <w:rPr>
                <w:rFonts w:ascii="Arial" w:hAnsi="Arial" w:cs="Arial"/>
                <w:sz w:val="24"/>
                <w:szCs w:val="24"/>
              </w:rPr>
            </w:pPr>
            <w:r w:rsidRPr="00D7757C">
              <w:rPr>
                <w:rFonts w:ascii="Arial" w:hAnsi="Arial" w:cs="Arial"/>
                <w:sz w:val="24"/>
                <w:szCs w:val="24"/>
              </w:rPr>
              <w:t>PLASC</w:t>
            </w:r>
          </w:p>
        </w:tc>
        <w:tc>
          <w:tcPr>
            <w:tcW w:w="2254" w:type="dxa"/>
          </w:tcPr>
          <w:p w14:paraId="41070D51" w14:textId="7DAA1CB7" w:rsidR="00D7757C" w:rsidRPr="00D7757C" w:rsidRDefault="00D7757C" w:rsidP="00C0244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757C">
              <w:rPr>
                <w:rFonts w:ascii="Arial" w:hAnsi="Arial" w:cs="Arial"/>
                <w:color w:val="000000"/>
                <w:sz w:val="24"/>
                <w:szCs w:val="24"/>
              </w:rPr>
              <w:t>27</w:t>
            </w:r>
            <w:r w:rsidR="00C02447"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  <w:r w:rsidRPr="00D7757C">
              <w:rPr>
                <w:rFonts w:ascii="Arial" w:hAnsi="Arial" w:cs="Arial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2254" w:type="dxa"/>
          </w:tcPr>
          <w:p w14:paraId="4696A5EE" w14:textId="1CF51084" w:rsidR="00D7757C" w:rsidRPr="00D7757C" w:rsidRDefault="00D7757C" w:rsidP="00C0244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757C">
              <w:rPr>
                <w:rFonts w:ascii="Arial" w:hAnsi="Arial" w:cs="Arial"/>
                <w:color w:val="000000"/>
                <w:sz w:val="24"/>
                <w:szCs w:val="24"/>
              </w:rPr>
              <w:t>27</w:t>
            </w:r>
            <w:r w:rsidR="00C02447"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  <w:r w:rsidRPr="00D7757C">
              <w:rPr>
                <w:rFonts w:ascii="Arial" w:hAnsi="Arial" w:cs="Arial"/>
                <w:color w:val="000000"/>
                <w:sz w:val="24"/>
                <w:szCs w:val="24"/>
              </w:rPr>
              <w:t>655</w:t>
            </w:r>
          </w:p>
        </w:tc>
        <w:tc>
          <w:tcPr>
            <w:tcW w:w="2254" w:type="dxa"/>
          </w:tcPr>
          <w:p w14:paraId="1C687C92" w14:textId="62207B3A" w:rsidR="00D7757C" w:rsidRPr="00D7757C" w:rsidRDefault="00D7757C" w:rsidP="00C0244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757C">
              <w:rPr>
                <w:rFonts w:ascii="Arial" w:hAnsi="Arial" w:cs="Arial"/>
                <w:color w:val="000000"/>
                <w:sz w:val="24"/>
                <w:szCs w:val="24"/>
              </w:rPr>
              <w:t>27</w:t>
            </w:r>
            <w:r w:rsidR="00C02447"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  <w:r w:rsidRPr="00D7757C">
              <w:rPr>
                <w:rFonts w:ascii="Arial" w:hAnsi="Arial" w:cs="Arial"/>
                <w:color w:val="000000"/>
                <w:sz w:val="24"/>
                <w:szCs w:val="24"/>
              </w:rPr>
              <w:t>865</w:t>
            </w:r>
          </w:p>
        </w:tc>
      </w:tr>
    </w:tbl>
    <w:p w14:paraId="10939EBA" w14:textId="77777777" w:rsidR="00D7757C" w:rsidRDefault="00D7757C">
      <w:pPr>
        <w:rPr>
          <w:rFonts w:ascii="Arial" w:hAnsi="Arial" w:cs="Arial"/>
          <w:sz w:val="24"/>
          <w:szCs w:val="24"/>
        </w:rPr>
      </w:pPr>
    </w:p>
    <w:p w14:paraId="0A3D11ED" w14:textId="30395119" w:rsidR="000319A4" w:rsidRDefault="000319A4" w:rsidP="000319A4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Like the FTE figures, the number of qualified teachers was </w:t>
      </w:r>
      <w:r w:rsidR="00A3617B">
        <w:rPr>
          <w:rFonts w:ascii="Arial" w:hAnsi="Arial" w:cs="Arial"/>
          <w:sz w:val="24"/>
          <w:szCs w:val="24"/>
        </w:rPr>
        <w:t>5.1%</w:t>
      </w:r>
      <w:r>
        <w:rPr>
          <w:rFonts w:ascii="Arial" w:hAnsi="Arial" w:cs="Arial"/>
          <w:sz w:val="24"/>
          <w:szCs w:val="24"/>
        </w:rPr>
        <w:t xml:space="preserve"> lower in the 202</w:t>
      </w:r>
      <w:r w:rsidR="00A3617B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SWAC collection compared to the 202</w:t>
      </w:r>
      <w:r w:rsidR="00A3617B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 PLASC collection. </w:t>
      </w:r>
    </w:p>
    <w:p w14:paraId="63E56818" w14:textId="0254275A" w:rsidR="000319A4" w:rsidRPr="000319A4" w:rsidRDefault="000319A4" w:rsidP="000319A4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the 2021/22 collections, SWAC was 3.8% lower and in the 202</w:t>
      </w:r>
      <w:r w:rsidR="00A3617B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/2</w:t>
      </w:r>
      <w:r w:rsidR="00A3617B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 collections SWAC was </w:t>
      </w:r>
      <w:r w:rsidR="00A3617B">
        <w:rPr>
          <w:rFonts w:ascii="Arial" w:hAnsi="Arial" w:cs="Arial"/>
          <w:sz w:val="24"/>
          <w:szCs w:val="24"/>
        </w:rPr>
        <w:t>4.4</w:t>
      </w:r>
      <w:r>
        <w:rPr>
          <w:rFonts w:ascii="Arial" w:hAnsi="Arial" w:cs="Arial"/>
          <w:sz w:val="24"/>
          <w:szCs w:val="24"/>
        </w:rPr>
        <w:t xml:space="preserve">% lower. </w:t>
      </w:r>
    </w:p>
    <w:p w14:paraId="47CB7C27" w14:textId="7EB89C9E" w:rsidR="00D7757C" w:rsidRPr="00690D3B" w:rsidRDefault="00690D3B">
      <w:pPr>
        <w:rPr>
          <w:rFonts w:ascii="Arial" w:hAnsi="Arial" w:cs="Arial"/>
          <w:b/>
          <w:bCs/>
          <w:sz w:val="24"/>
          <w:szCs w:val="24"/>
        </w:rPr>
      </w:pPr>
      <w:r w:rsidRPr="00690D3B">
        <w:rPr>
          <w:rFonts w:ascii="Arial" w:hAnsi="Arial" w:cs="Arial"/>
          <w:b/>
          <w:bCs/>
          <w:sz w:val="24"/>
          <w:szCs w:val="24"/>
        </w:rPr>
        <w:t xml:space="preserve">Table 3: </w:t>
      </w:r>
      <w:r w:rsidR="00D7757C" w:rsidRPr="00690D3B">
        <w:rPr>
          <w:rFonts w:ascii="Arial" w:hAnsi="Arial" w:cs="Arial"/>
          <w:b/>
          <w:bCs/>
          <w:sz w:val="24"/>
          <w:szCs w:val="24"/>
        </w:rPr>
        <w:t>Support Staff FTE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3"/>
        <w:gridCol w:w="2245"/>
        <w:gridCol w:w="2245"/>
        <w:gridCol w:w="2245"/>
      </w:tblGrid>
      <w:tr w:rsidR="00C02447" w:rsidRPr="00D7757C" w14:paraId="722B89D9" w14:textId="77777777" w:rsidTr="007F40DA">
        <w:trPr>
          <w:trHeight w:val="454"/>
        </w:trPr>
        <w:tc>
          <w:tcPr>
            <w:tcW w:w="2243" w:type="dxa"/>
          </w:tcPr>
          <w:p w14:paraId="6466C400" w14:textId="77777777" w:rsidR="00C02447" w:rsidRPr="00D7757C" w:rsidRDefault="00C02447" w:rsidP="00C0244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5" w:type="dxa"/>
          </w:tcPr>
          <w:p w14:paraId="557A1A0D" w14:textId="5BFEC3C9" w:rsidR="00C02447" w:rsidRPr="00D7757C" w:rsidRDefault="00C02447" w:rsidP="00C024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2020/2</w:t>
            </w:r>
            <w:r w:rsidRPr="00D7757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245" w:type="dxa"/>
          </w:tcPr>
          <w:p w14:paraId="48464DB2" w14:textId="2B835AF8" w:rsidR="00C02447" w:rsidRPr="00D7757C" w:rsidRDefault="00C02447" w:rsidP="00C024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57C">
              <w:rPr>
                <w:rFonts w:ascii="Arial" w:hAnsi="Arial" w:cs="Arial"/>
                <w:sz w:val="24"/>
                <w:szCs w:val="24"/>
              </w:rPr>
              <w:t>2021</w:t>
            </w:r>
            <w:r>
              <w:rPr>
                <w:rFonts w:ascii="Arial" w:hAnsi="Arial" w:cs="Arial"/>
                <w:sz w:val="24"/>
                <w:szCs w:val="24"/>
              </w:rPr>
              <w:t>/22</w:t>
            </w:r>
          </w:p>
        </w:tc>
        <w:tc>
          <w:tcPr>
            <w:tcW w:w="2245" w:type="dxa"/>
          </w:tcPr>
          <w:p w14:paraId="4C1F91DC" w14:textId="32B79F9E" w:rsidR="00C02447" w:rsidRPr="00D7757C" w:rsidRDefault="00C02447" w:rsidP="00C024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2022/23</w:t>
            </w:r>
          </w:p>
        </w:tc>
      </w:tr>
      <w:tr w:rsidR="00D7757C" w:rsidRPr="00D7757C" w14:paraId="29035F73" w14:textId="77777777" w:rsidTr="007F40DA">
        <w:trPr>
          <w:trHeight w:val="454"/>
        </w:trPr>
        <w:tc>
          <w:tcPr>
            <w:tcW w:w="2243" w:type="dxa"/>
          </w:tcPr>
          <w:p w14:paraId="0B543D60" w14:textId="77777777" w:rsidR="00D7757C" w:rsidRPr="00D7757C" w:rsidRDefault="00D7757C" w:rsidP="007F40DA">
            <w:pPr>
              <w:rPr>
                <w:rFonts w:ascii="Arial" w:hAnsi="Arial" w:cs="Arial"/>
                <w:sz w:val="24"/>
                <w:szCs w:val="24"/>
              </w:rPr>
            </w:pPr>
            <w:r w:rsidRPr="00D7757C">
              <w:rPr>
                <w:rFonts w:ascii="Arial" w:hAnsi="Arial" w:cs="Arial"/>
                <w:sz w:val="24"/>
                <w:szCs w:val="24"/>
              </w:rPr>
              <w:t>SWAC</w:t>
            </w:r>
          </w:p>
        </w:tc>
        <w:tc>
          <w:tcPr>
            <w:tcW w:w="2245" w:type="dxa"/>
          </w:tcPr>
          <w:p w14:paraId="39C342F3" w14:textId="1324576F" w:rsidR="00D7757C" w:rsidRPr="00D7757C" w:rsidRDefault="00D7757C" w:rsidP="00C0244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757C">
              <w:rPr>
                <w:rFonts w:ascii="Arial" w:hAnsi="Arial" w:cs="Arial"/>
                <w:color w:val="000000"/>
                <w:sz w:val="24"/>
                <w:szCs w:val="24"/>
              </w:rPr>
              <w:t>22</w:t>
            </w:r>
            <w:r w:rsidR="00C02447"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  <w:r w:rsidRPr="00D7757C">
              <w:rPr>
                <w:rFonts w:ascii="Arial" w:hAnsi="Arial" w:cs="Arial"/>
                <w:color w:val="000000"/>
                <w:sz w:val="24"/>
                <w:szCs w:val="24"/>
              </w:rPr>
              <w:t>390</w:t>
            </w:r>
          </w:p>
          <w:p w14:paraId="12EC2B2A" w14:textId="77777777" w:rsidR="00D7757C" w:rsidRPr="00D7757C" w:rsidRDefault="00D7757C" w:rsidP="00C0244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5" w:type="dxa"/>
          </w:tcPr>
          <w:p w14:paraId="0940974B" w14:textId="743B09D3" w:rsidR="00D7757C" w:rsidRPr="00D7757C" w:rsidRDefault="00D7757C" w:rsidP="00C0244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757C">
              <w:rPr>
                <w:rFonts w:ascii="Arial" w:hAnsi="Arial" w:cs="Arial"/>
                <w:color w:val="000000"/>
                <w:sz w:val="24"/>
                <w:szCs w:val="24"/>
              </w:rPr>
              <w:t>23</w:t>
            </w:r>
            <w:r w:rsidR="00C02447"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  <w:r w:rsidRPr="00D7757C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  <w:p w14:paraId="0DF8D218" w14:textId="77777777" w:rsidR="00D7757C" w:rsidRPr="00D7757C" w:rsidRDefault="00D7757C" w:rsidP="00C0244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5" w:type="dxa"/>
          </w:tcPr>
          <w:p w14:paraId="1DA09EE3" w14:textId="17F4CEF4" w:rsidR="00D7757C" w:rsidRPr="00D7757C" w:rsidRDefault="00D7757C" w:rsidP="00C0244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757C">
              <w:rPr>
                <w:rFonts w:ascii="Arial" w:hAnsi="Arial" w:cs="Arial"/>
                <w:color w:val="000000"/>
                <w:sz w:val="24"/>
                <w:szCs w:val="24"/>
              </w:rPr>
              <w:t>24</w:t>
            </w:r>
            <w:r w:rsidR="00C02447"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  <w:r w:rsidRPr="00D7757C">
              <w:rPr>
                <w:rFonts w:ascii="Arial" w:hAnsi="Arial" w:cs="Arial"/>
                <w:color w:val="000000"/>
                <w:sz w:val="24"/>
                <w:szCs w:val="24"/>
              </w:rPr>
              <w:t>160</w:t>
            </w:r>
          </w:p>
          <w:p w14:paraId="35FC3ED6" w14:textId="77777777" w:rsidR="00D7757C" w:rsidRPr="00D7757C" w:rsidRDefault="00D7757C" w:rsidP="00C0244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757C" w:rsidRPr="00D7757C" w14:paraId="1DCB1EC1" w14:textId="77777777" w:rsidTr="007F40DA">
        <w:trPr>
          <w:trHeight w:val="454"/>
        </w:trPr>
        <w:tc>
          <w:tcPr>
            <w:tcW w:w="2243" w:type="dxa"/>
          </w:tcPr>
          <w:p w14:paraId="0171921A" w14:textId="77777777" w:rsidR="00D7757C" w:rsidRPr="00D7757C" w:rsidRDefault="00D7757C" w:rsidP="007F40DA">
            <w:pPr>
              <w:rPr>
                <w:rFonts w:ascii="Arial" w:hAnsi="Arial" w:cs="Arial"/>
                <w:sz w:val="24"/>
                <w:szCs w:val="24"/>
              </w:rPr>
            </w:pPr>
            <w:r w:rsidRPr="00D7757C">
              <w:rPr>
                <w:rFonts w:ascii="Arial" w:hAnsi="Arial" w:cs="Arial"/>
                <w:sz w:val="24"/>
                <w:szCs w:val="24"/>
              </w:rPr>
              <w:t>PLASC</w:t>
            </w:r>
          </w:p>
        </w:tc>
        <w:tc>
          <w:tcPr>
            <w:tcW w:w="2245" w:type="dxa"/>
          </w:tcPr>
          <w:p w14:paraId="7CFEA251" w14:textId="25B41E50" w:rsidR="00D7757C" w:rsidRPr="00D7757C" w:rsidRDefault="00D7757C" w:rsidP="00C0244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757C">
              <w:rPr>
                <w:rFonts w:ascii="Arial" w:hAnsi="Arial" w:cs="Arial"/>
                <w:color w:val="000000"/>
                <w:sz w:val="24"/>
                <w:szCs w:val="24"/>
              </w:rPr>
              <w:t>23</w:t>
            </w:r>
            <w:r w:rsidR="00C02447"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  <w:r w:rsidRPr="00D7757C">
              <w:rPr>
                <w:rFonts w:ascii="Arial" w:hAnsi="Arial" w:cs="Arial"/>
                <w:color w:val="000000"/>
                <w:sz w:val="24"/>
                <w:szCs w:val="24"/>
              </w:rPr>
              <w:t>780</w:t>
            </w:r>
          </w:p>
          <w:p w14:paraId="4FA60A71" w14:textId="77777777" w:rsidR="00D7757C" w:rsidRPr="00D7757C" w:rsidRDefault="00D7757C" w:rsidP="00C0244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5" w:type="dxa"/>
          </w:tcPr>
          <w:p w14:paraId="2FEB7096" w14:textId="09FBBB55" w:rsidR="00D7757C" w:rsidRPr="00D7757C" w:rsidRDefault="00D7757C" w:rsidP="00C0244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757C">
              <w:rPr>
                <w:rFonts w:ascii="Arial" w:hAnsi="Arial" w:cs="Arial"/>
                <w:color w:val="000000"/>
                <w:sz w:val="24"/>
                <w:szCs w:val="24"/>
              </w:rPr>
              <w:t>24</w:t>
            </w:r>
            <w:r w:rsidR="00C02447"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  <w:r w:rsidRPr="00D7757C">
              <w:rPr>
                <w:rFonts w:ascii="Arial" w:hAnsi="Arial" w:cs="Arial"/>
                <w:color w:val="000000"/>
                <w:sz w:val="24"/>
                <w:szCs w:val="24"/>
              </w:rPr>
              <w:t>515</w:t>
            </w:r>
          </w:p>
          <w:p w14:paraId="764AF4AB" w14:textId="77777777" w:rsidR="00D7757C" w:rsidRPr="00D7757C" w:rsidRDefault="00D7757C" w:rsidP="00C0244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5" w:type="dxa"/>
          </w:tcPr>
          <w:p w14:paraId="34993D95" w14:textId="194E5E4F" w:rsidR="00D7757C" w:rsidRPr="00D7757C" w:rsidRDefault="00D7757C" w:rsidP="00C0244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757C">
              <w:rPr>
                <w:rFonts w:ascii="Arial" w:hAnsi="Arial" w:cs="Arial"/>
                <w:color w:val="000000"/>
                <w:sz w:val="24"/>
                <w:szCs w:val="24"/>
              </w:rPr>
              <w:t>25</w:t>
            </w:r>
            <w:r w:rsidR="00C02447"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  <w:r w:rsidRPr="00D7757C">
              <w:rPr>
                <w:rFonts w:ascii="Arial" w:hAnsi="Arial" w:cs="Arial"/>
                <w:color w:val="000000"/>
                <w:sz w:val="24"/>
                <w:szCs w:val="24"/>
              </w:rPr>
              <w:t>810</w:t>
            </w:r>
          </w:p>
          <w:p w14:paraId="75DC4189" w14:textId="77777777" w:rsidR="00D7757C" w:rsidRPr="00D7757C" w:rsidRDefault="00D7757C" w:rsidP="00C0244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467A0DE" w14:textId="77777777" w:rsidR="00D7757C" w:rsidRDefault="00D7757C">
      <w:pPr>
        <w:rPr>
          <w:rFonts w:ascii="Arial" w:hAnsi="Arial" w:cs="Arial"/>
          <w:sz w:val="24"/>
          <w:szCs w:val="24"/>
        </w:rPr>
      </w:pPr>
    </w:p>
    <w:p w14:paraId="66931473" w14:textId="18E33465" w:rsidR="000319A4" w:rsidRDefault="000319A4" w:rsidP="000319A4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 </w:t>
      </w:r>
      <w:r w:rsidR="00A3617B">
        <w:rPr>
          <w:rFonts w:ascii="Arial" w:hAnsi="Arial" w:cs="Arial"/>
          <w:sz w:val="24"/>
          <w:szCs w:val="24"/>
        </w:rPr>
        <w:t>2022/23</w:t>
      </w:r>
      <w:r>
        <w:rPr>
          <w:rFonts w:ascii="Arial" w:hAnsi="Arial" w:cs="Arial"/>
          <w:sz w:val="24"/>
          <w:szCs w:val="24"/>
        </w:rPr>
        <w:t xml:space="preserve"> the FTE of support staff was </w:t>
      </w:r>
      <w:r w:rsidR="00A3617B">
        <w:rPr>
          <w:rFonts w:ascii="Arial" w:hAnsi="Arial" w:cs="Arial"/>
          <w:sz w:val="24"/>
          <w:szCs w:val="24"/>
        </w:rPr>
        <w:t>6.4%</w:t>
      </w:r>
      <w:r>
        <w:rPr>
          <w:rFonts w:ascii="Arial" w:hAnsi="Arial" w:cs="Arial"/>
          <w:sz w:val="24"/>
          <w:szCs w:val="24"/>
        </w:rPr>
        <w:t xml:space="preserve"> lower in the SWAC collection than PLASC collection. </w:t>
      </w:r>
    </w:p>
    <w:p w14:paraId="33847BA3" w14:textId="18AFB349" w:rsidR="000319A4" w:rsidRDefault="000319A4" w:rsidP="000319A4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This </w:t>
      </w:r>
      <w:r w:rsidR="00A3617B">
        <w:rPr>
          <w:rFonts w:ascii="Arial" w:hAnsi="Arial" w:cs="Arial"/>
          <w:sz w:val="24"/>
          <w:szCs w:val="24"/>
        </w:rPr>
        <w:t>remained</w:t>
      </w:r>
      <w:r>
        <w:rPr>
          <w:rFonts w:ascii="Arial" w:hAnsi="Arial" w:cs="Arial"/>
          <w:sz w:val="24"/>
          <w:szCs w:val="24"/>
        </w:rPr>
        <w:t xml:space="preserve"> relatively </w:t>
      </w:r>
      <w:proofErr w:type="gramStart"/>
      <w:r>
        <w:rPr>
          <w:rFonts w:ascii="Arial" w:hAnsi="Arial" w:cs="Arial"/>
          <w:sz w:val="24"/>
          <w:szCs w:val="24"/>
        </w:rPr>
        <w:t xml:space="preserve">similar </w:t>
      </w:r>
      <w:r w:rsidR="00A3617B">
        <w:rPr>
          <w:rFonts w:ascii="Arial" w:hAnsi="Arial" w:cs="Arial"/>
          <w:sz w:val="24"/>
          <w:szCs w:val="24"/>
        </w:rPr>
        <w:t>to</w:t>
      </w:r>
      <w:proofErr w:type="gramEnd"/>
      <w:r w:rsidR="00A3617B">
        <w:rPr>
          <w:rFonts w:ascii="Arial" w:hAnsi="Arial" w:cs="Arial"/>
          <w:sz w:val="24"/>
          <w:szCs w:val="24"/>
        </w:rPr>
        <w:t xml:space="preserve"> the previous collections </w:t>
      </w:r>
      <w:r>
        <w:rPr>
          <w:rFonts w:ascii="Arial" w:hAnsi="Arial" w:cs="Arial"/>
          <w:sz w:val="24"/>
          <w:szCs w:val="24"/>
        </w:rPr>
        <w:t xml:space="preserve">with SWAC reporting 5% lower in 2021/22 and </w:t>
      </w:r>
      <w:r w:rsidR="00A3617B">
        <w:rPr>
          <w:rFonts w:ascii="Arial" w:hAnsi="Arial" w:cs="Arial"/>
          <w:sz w:val="24"/>
          <w:szCs w:val="24"/>
        </w:rPr>
        <w:t>5.8</w:t>
      </w:r>
      <w:r>
        <w:rPr>
          <w:rFonts w:ascii="Arial" w:hAnsi="Arial" w:cs="Arial"/>
          <w:sz w:val="24"/>
          <w:szCs w:val="24"/>
        </w:rPr>
        <w:t>% lower in 202</w:t>
      </w:r>
      <w:r w:rsidR="00A3617B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/2</w:t>
      </w:r>
      <w:r w:rsidR="00A3617B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02AA5A4B" w14:textId="682835FB" w:rsidR="00D7757C" w:rsidRPr="00690D3B" w:rsidRDefault="00690D3B">
      <w:pPr>
        <w:rPr>
          <w:rFonts w:ascii="Arial" w:hAnsi="Arial" w:cs="Arial"/>
          <w:b/>
          <w:bCs/>
          <w:sz w:val="24"/>
          <w:szCs w:val="24"/>
        </w:rPr>
      </w:pPr>
      <w:r w:rsidRPr="00690D3B">
        <w:rPr>
          <w:rFonts w:ascii="Arial" w:hAnsi="Arial" w:cs="Arial"/>
          <w:b/>
          <w:bCs/>
          <w:sz w:val="24"/>
          <w:szCs w:val="24"/>
        </w:rPr>
        <w:t xml:space="preserve">Table 4: </w:t>
      </w:r>
      <w:r w:rsidR="00D7757C" w:rsidRPr="00690D3B">
        <w:rPr>
          <w:rFonts w:ascii="Arial" w:hAnsi="Arial" w:cs="Arial"/>
          <w:b/>
          <w:bCs/>
          <w:sz w:val="24"/>
          <w:szCs w:val="24"/>
        </w:rPr>
        <w:t>Support Staff Headcount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3"/>
        <w:gridCol w:w="2245"/>
        <w:gridCol w:w="2245"/>
        <w:gridCol w:w="2245"/>
      </w:tblGrid>
      <w:tr w:rsidR="00C02447" w:rsidRPr="00D7757C" w14:paraId="6B51C842" w14:textId="77777777" w:rsidTr="007F40DA">
        <w:trPr>
          <w:trHeight w:val="454"/>
        </w:trPr>
        <w:tc>
          <w:tcPr>
            <w:tcW w:w="2243" w:type="dxa"/>
          </w:tcPr>
          <w:p w14:paraId="5C56A7D1" w14:textId="77777777" w:rsidR="00C02447" w:rsidRPr="00D7757C" w:rsidRDefault="00C02447" w:rsidP="00C0244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5" w:type="dxa"/>
          </w:tcPr>
          <w:p w14:paraId="0370DC17" w14:textId="0A2335B6" w:rsidR="00C02447" w:rsidRPr="00D7757C" w:rsidRDefault="00C02447" w:rsidP="00C024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2020/2</w:t>
            </w:r>
            <w:r w:rsidRPr="00D7757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245" w:type="dxa"/>
          </w:tcPr>
          <w:p w14:paraId="1BB81CB3" w14:textId="66E8E4F1" w:rsidR="00C02447" w:rsidRPr="00D7757C" w:rsidRDefault="00C02447" w:rsidP="00C024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757C">
              <w:rPr>
                <w:rFonts w:ascii="Arial" w:hAnsi="Arial" w:cs="Arial"/>
                <w:sz w:val="24"/>
                <w:szCs w:val="24"/>
              </w:rPr>
              <w:t>2021</w:t>
            </w:r>
            <w:r>
              <w:rPr>
                <w:rFonts w:ascii="Arial" w:hAnsi="Arial" w:cs="Arial"/>
                <w:sz w:val="24"/>
                <w:szCs w:val="24"/>
              </w:rPr>
              <w:t>/22</w:t>
            </w:r>
          </w:p>
        </w:tc>
        <w:tc>
          <w:tcPr>
            <w:tcW w:w="2245" w:type="dxa"/>
          </w:tcPr>
          <w:p w14:paraId="0131B74D" w14:textId="1A0389E6" w:rsidR="00C02447" w:rsidRPr="00D7757C" w:rsidRDefault="00C02447" w:rsidP="00C024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2022/23</w:t>
            </w:r>
          </w:p>
        </w:tc>
      </w:tr>
      <w:tr w:rsidR="00D7757C" w:rsidRPr="00D7757C" w14:paraId="0A79DC50" w14:textId="77777777" w:rsidTr="007F40DA">
        <w:trPr>
          <w:trHeight w:val="454"/>
        </w:trPr>
        <w:tc>
          <w:tcPr>
            <w:tcW w:w="2243" w:type="dxa"/>
          </w:tcPr>
          <w:p w14:paraId="3B7C6A2A" w14:textId="77777777" w:rsidR="00D7757C" w:rsidRPr="00D7757C" w:rsidRDefault="00D7757C" w:rsidP="007F40DA">
            <w:pPr>
              <w:rPr>
                <w:rFonts w:ascii="Arial" w:hAnsi="Arial" w:cs="Arial"/>
                <w:sz w:val="24"/>
                <w:szCs w:val="24"/>
              </w:rPr>
            </w:pPr>
            <w:r w:rsidRPr="00D7757C">
              <w:rPr>
                <w:rFonts w:ascii="Arial" w:hAnsi="Arial" w:cs="Arial"/>
                <w:sz w:val="24"/>
                <w:szCs w:val="24"/>
              </w:rPr>
              <w:t>SWAC</w:t>
            </w:r>
          </w:p>
        </w:tc>
        <w:tc>
          <w:tcPr>
            <w:tcW w:w="2245" w:type="dxa"/>
          </w:tcPr>
          <w:p w14:paraId="2F0198B6" w14:textId="6E84B98A" w:rsidR="00181655" w:rsidRPr="00181655" w:rsidRDefault="00181655" w:rsidP="00C0244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81655">
              <w:rPr>
                <w:rFonts w:ascii="Arial" w:hAnsi="Arial" w:cs="Arial"/>
                <w:color w:val="000000"/>
                <w:sz w:val="24"/>
                <w:szCs w:val="24"/>
              </w:rPr>
              <w:t>29</w:t>
            </w:r>
            <w:r w:rsidR="00C02447"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  <w:r w:rsidRPr="00181655">
              <w:rPr>
                <w:rFonts w:ascii="Arial" w:hAnsi="Arial" w:cs="Arial"/>
                <w:color w:val="000000"/>
                <w:sz w:val="24"/>
                <w:szCs w:val="24"/>
              </w:rPr>
              <w:t>055</w:t>
            </w:r>
          </w:p>
          <w:p w14:paraId="6B4C5495" w14:textId="77777777" w:rsidR="00D7757C" w:rsidRPr="00181655" w:rsidRDefault="00D7757C" w:rsidP="00C0244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5" w:type="dxa"/>
          </w:tcPr>
          <w:p w14:paraId="6A55C97E" w14:textId="15C4DDC6" w:rsidR="00181655" w:rsidRPr="00181655" w:rsidRDefault="00181655" w:rsidP="00C0244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81655">
              <w:rPr>
                <w:rFonts w:ascii="Arial" w:hAnsi="Arial" w:cs="Arial"/>
                <w:color w:val="000000"/>
                <w:sz w:val="24"/>
                <w:szCs w:val="24"/>
              </w:rPr>
              <w:t>30</w:t>
            </w:r>
            <w:r w:rsidR="00C02447"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  <w:r w:rsidRPr="00181655">
              <w:rPr>
                <w:rFonts w:ascii="Arial" w:hAnsi="Arial" w:cs="Arial"/>
                <w:color w:val="000000"/>
                <w:sz w:val="24"/>
                <w:szCs w:val="24"/>
              </w:rPr>
              <w:t>035</w:t>
            </w:r>
          </w:p>
          <w:p w14:paraId="781FE03B" w14:textId="77777777" w:rsidR="00D7757C" w:rsidRPr="00181655" w:rsidRDefault="00D7757C" w:rsidP="00C0244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5" w:type="dxa"/>
          </w:tcPr>
          <w:p w14:paraId="79EA2221" w14:textId="3C7CB153" w:rsidR="00181655" w:rsidRPr="00181655" w:rsidRDefault="00181655" w:rsidP="00C0244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81655">
              <w:rPr>
                <w:rFonts w:ascii="Arial" w:hAnsi="Arial" w:cs="Arial"/>
                <w:color w:val="000000"/>
                <w:sz w:val="24"/>
                <w:szCs w:val="24"/>
              </w:rPr>
              <w:t>30</w:t>
            </w:r>
            <w:r w:rsidR="00C02447"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  <w:r w:rsidRPr="00181655">
              <w:rPr>
                <w:rFonts w:ascii="Arial" w:hAnsi="Arial" w:cs="Arial"/>
                <w:color w:val="000000"/>
                <w:sz w:val="24"/>
                <w:szCs w:val="24"/>
              </w:rPr>
              <w:t>860</w:t>
            </w:r>
          </w:p>
          <w:p w14:paraId="262C3F01" w14:textId="77777777" w:rsidR="00D7757C" w:rsidRPr="00181655" w:rsidRDefault="00D7757C" w:rsidP="00C0244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757C" w:rsidRPr="00D7757C" w14:paraId="34F46D5D" w14:textId="77777777" w:rsidTr="007F40DA">
        <w:trPr>
          <w:trHeight w:val="454"/>
        </w:trPr>
        <w:tc>
          <w:tcPr>
            <w:tcW w:w="2243" w:type="dxa"/>
          </w:tcPr>
          <w:p w14:paraId="00059F77" w14:textId="77777777" w:rsidR="00D7757C" w:rsidRPr="00D7757C" w:rsidRDefault="00D7757C" w:rsidP="007F40DA">
            <w:pPr>
              <w:rPr>
                <w:rFonts w:ascii="Arial" w:hAnsi="Arial" w:cs="Arial"/>
                <w:sz w:val="24"/>
                <w:szCs w:val="24"/>
              </w:rPr>
            </w:pPr>
            <w:r w:rsidRPr="00D7757C">
              <w:rPr>
                <w:rFonts w:ascii="Arial" w:hAnsi="Arial" w:cs="Arial"/>
                <w:sz w:val="24"/>
                <w:szCs w:val="24"/>
              </w:rPr>
              <w:t>PLASC</w:t>
            </w:r>
          </w:p>
        </w:tc>
        <w:tc>
          <w:tcPr>
            <w:tcW w:w="2245" w:type="dxa"/>
          </w:tcPr>
          <w:p w14:paraId="72C346C2" w14:textId="74CECFDA" w:rsidR="00181655" w:rsidRPr="00181655" w:rsidRDefault="00181655" w:rsidP="00C0244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81655">
              <w:rPr>
                <w:rFonts w:ascii="Arial" w:hAnsi="Arial" w:cs="Arial"/>
                <w:color w:val="000000"/>
                <w:sz w:val="24"/>
                <w:szCs w:val="24"/>
              </w:rPr>
              <w:t>27</w:t>
            </w:r>
            <w:r w:rsidR="00C02447"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  <w:r w:rsidRPr="00181655">
              <w:rPr>
                <w:rFonts w:ascii="Arial" w:hAnsi="Arial" w:cs="Arial"/>
                <w:color w:val="000000"/>
                <w:sz w:val="24"/>
                <w:szCs w:val="24"/>
              </w:rPr>
              <w:t>310</w:t>
            </w:r>
          </w:p>
          <w:p w14:paraId="487E78F6" w14:textId="77777777" w:rsidR="00D7757C" w:rsidRPr="00181655" w:rsidRDefault="00D7757C" w:rsidP="00C0244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5" w:type="dxa"/>
          </w:tcPr>
          <w:p w14:paraId="36F36024" w14:textId="3D08CD9D" w:rsidR="00181655" w:rsidRPr="00181655" w:rsidRDefault="00181655" w:rsidP="00C0244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81655">
              <w:rPr>
                <w:rFonts w:ascii="Arial" w:hAnsi="Arial" w:cs="Arial"/>
                <w:color w:val="000000"/>
                <w:sz w:val="24"/>
                <w:szCs w:val="24"/>
              </w:rPr>
              <w:t>27</w:t>
            </w:r>
            <w:r w:rsidR="00C02447"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  <w:r w:rsidRPr="00181655">
              <w:rPr>
                <w:rFonts w:ascii="Arial" w:hAnsi="Arial" w:cs="Arial"/>
                <w:color w:val="000000"/>
                <w:sz w:val="24"/>
                <w:szCs w:val="24"/>
              </w:rPr>
              <w:t>990</w:t>
            </w:r>
          </w:p>
          <w:p w14:paraId="31BC18B3" w14:textId="77777777" w:rsidR="00D7757C" w:rsidRPr="00181655" w:rsidRDefault="00D7757C" w:rsidP="00C0244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5" w:type="dxa"/>
          </w:tcPr>
          <w:p w14:paraId="180C59C8" w14:textId="16AB8011" w:rsidR="00181655" w:rsidRPr="00181655" w:rsidRDefault="00181655" w:rsidP="00C0244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81655">
              <w:rPr>
                <w:rFonts w:ascii="Arial" w:hAnsi="Arial" w:cs="Arial"/>
                <w:color w:val="000000"/>
                <w:sz w:val="24"/>
                <w:szCs w:val="24"/>
              </w:rPr>
              <w:t>28</w:t>
            </w:r>
            <w:r w:rsidR="00C02447"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  <w:r w:rsidRPr="00181655">
              <w:rPr>
                <w:rFonts w:ascii="Arial" w:hAnsi="Arial" w:cs="Arial"/>
                <w:color w:val="000000"/>
                <w:sz w:val="24"/>
                <w:szCs w:val="24"/>
              </w:rPr>
              <w:t>760</w:t>
            </w:r>
          </w:p>
          <w:p w14:paraId="2CDCFD76" w14:textId="77777777" w:rsidR="00D7757C" w:rsidRPr="00181655" w:rsidRDefault="00D7757C" w:rsidP="00C0244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01445EE" w14:textId="77777777" w:rsidR="00181655" w:rsidRDefault="00181655">
      <w:pPr>
        <w:rPr>
          <w:rFonts w:ascii="Arial" w:hAnsi="Arial" w:cs="Arial"/>
          <w:sz w:val="24"/>
          <w:szCs w:val="24"/>
        </w:rPr>
      </w:pPr>
    </w:p>
    <w:p w14:paraId="44CB7754" w14:textId="77777777" w:rsidR="000319A4" w:rsidRDefault="000319A4" w:rsidP="000319A4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support staff headcount figures are similar in </w:t>
      </w:r>
      <w:r w:rsidR="00476C0B">
        <w:rPr>
          <w:rFonts w:ascii="Arial" w:hAnsi="Arial" w:cs="Arial"/>
          <w:sz w:val="24"/>
          <w:szCs w:val="24"/>
        </w:rPr>
        <w:t>difference between SWAC and PLASC to support staff FTE figures.</w:t>
      </w:r>
    </w:p>
    <w:p w14:paraId="4CADB060" w14:textId="77777777" w:rsidR="00476C0B" w:rsidRPr="000319A4" w:rsidRDefault="00476C0B" w:rsidP="000319A4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2020/21 SWAC was 6.4% lower, and 7.3% lower in 2021/22 and 2022/23.</w:t>
      </w:r>
    </w:p>
    <w:p w14:paraId="3E04FCFF" w14:textId="7AC32FFC" w:rsidR="00181655" w:rsidRPr="00690D3B" w:rsidRDefault="00690D3B">
      <w:pPr>
        <w:rPr>
          <w:rFonts w:ascii="Arial" w:hAnsi="Arial" w:cs="Arial"/>
          <w:b/>
          <w:bCs/>
          <w:sz w:val="24"/>
          <w:szCs w:val="24"/>
        </w:rPr>
      </w:pPr>
      <w:r w:rsidRPr="00690D3B">
        <w:rPr>
          <w:rFonts w:ascii="Arial" w:hAnsi="Arial" w:cs="Arial"/>
          <w:b/>
          <w:bCs/>
          <w:sz w:val="24"/>
          <w:szCs w:val="24"/>
        </w:rPr>
        <w:t xml:space="preserve">Table 5: </w:t>
      </w:r>
      <w:r w:rsidR="00181655" w:rsidRPr="00690D3B">
        <w:rPr>
          <w:rFonts w:ascii="Arial" w:hAnsi="Arial" w:cs="Arial"/>
          <w:b/>
          <w:bCs/>
          <w:sz w:val="24"/>
          <w:szCs w:val="24"/>
        </w:rPr>
        <w:t xml:space="preserve">Welsh Language </w:t>
      </w:r>
      <w:r>
        <w:rPr>
          <w:rFonts w:ascii="Arial" w:hAnsi="Arial" w:cs="Arial"/>
          <w:b/>
          <w:bCs/>
          <w:sz w:val="24"/>
          <w:szCs w:val="24"/>
        </w:rPr>
        <w:t>data</w:t>
      </w:r>
      <w:r w:rsidR="00C02447">
        <w:rPr>
          <w:rFonts w:ascii="Arial" w:hAnsi="Arial" w:cs="Arial"/>
          <w:b/>
          <w:bCs/>
          <w:sz w:val="24"/>
          <w:szCs w:val="24"/>
        </w:rPr>
        <w:t xml:space="preserve"> 2022/23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34"/>
        <w:gridCol w:w="2071"/>
        <w:gridCol w:w="1461"/>
        <w:gridCol w:w="1394"/>
        <w:gridCol w:w="1461"/>
        <w:gridCol w:w="1295"/>
      </w:tblGrid>
      <w:tr w:rsidR="009C628D" w14:paraId="2ADE04C0" w14:textId="77777777" w:rsidTr="009C628D">
        <w:tc>
          <w:tcPr>
            <w:tcW w:w="1334" w:type="dxa"/>
          </w:tcPr>
          <w:p w14:paraId="44978E93" w14:textId="77777777" w:rsidR="009C628D" w:rsidRDefault="009C628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1" w:type="dxa"/>
          </w:tcPr>
          <w:p w14:paraId="05456AF5" w14:textId="43E20CC7" w:rsidR="009C628D" w:rsidRDefault="009C628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Teaching/working in Welsh in current post</w:t>
            </w:r>
          </w:p>
        </w:tc>
        <w:tc>
          <w:tcPr>
            <w:tcW w:w="1461" w:type="dxa"/>
          </w:tcPr>
          <w:p w14:paraId="5324EC67" w14:textId="27111496" w:rsidR="009C628D" w:rsidRDefault="009C628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Able to teach/work in Welsh but not doing so</w:t>
            </w:r>
          </w:p>
        </w:tc>
        <w:tc>
          <w:tcPr>
            <w:tcW w:w="1394" w:type="dxa"/>
          </w:tcPr>
          <w:p w14:paraId="4A8E1C7C" w14:textId="78B70EBB" w:rsidR="009C628D" w:rsidRDefault="009C628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Teaching Welsh as a subject only</w:t>
            </w:r>
          </w:p>
        </w:tc>
        <w:tc>
          <w:tcPr>
            <w:tcW w:w="1461" w:type="dxa"/>
          </w:tcPr>
          <w:p w14:paraId="48E79E8F" w14:textId="1FC32197" w:rsidR="009C628D" w:rsidRDefault="009C628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Unable to teach/work in Welsh</w:t>
            </w:r>
          </w:p>
        </w:tc>
        <w:tc>
          <w:tcPr>
            <w:tcW w:w="1295" w:type="dxa"/>
          </w:tcPr>
          <w:p w14:paraId="78BAA1CC" w14:textId="736024EA" w:rsidR="009C628D" w:rsidRDefault="009C628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Total</w:t>
            </w:r>
          </w:p>
        </w:tc>
      </w:tr>
      <w:tr w:rsidR="009C628D" w14:paraId="7B68611E" w14:textId="77777777" w:rsidTr="009C628D">
        <w:tc>
          <w:tcPr>
            <w:tcW w:w="1334" w:type="dxa"/>
          </w:tcPr>
          <w:p w14:paraId="2268F41F" w14:textId="5F6603CC" w:rsidR="009C628D" w:rsidRDefault="009C628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SWAC</w:t>
            </w:r>
          </w:p>
        </w:tc>
        <w:tc>
          <w:tcPr>
            <w:tcW w:w="2071" w:type="dxa"/>
          </w:tcPr>
          <w:p w14:paraId="5E1305FD" w14:textId="4C5CC785" w:rsidR="009C628D" w:rsidRDefault="009C628D" w:rsidP="00C0244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C02447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>610</w:t>
            </w:r>
          </w:p>
          <w:p w14:paraId="2F6A0FD8" w14:textId="08871B27" w:rsidR="009C628D" w:rsidRDefault="009C628D" w:rsidP="00C0244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1" w:type="dxa"/>
          </w:tcPr>
          <w:p w14:paraId="12EEAF5B" w14:textId="3F9FC084" w:rsidR="009C628D" w:rsidRDefault="009C628D" w:rsidP="00C0244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C02447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>620</w:t>
            </w:r>
          </w:p>
        </w:tc>
        <w:tc>
          <w:tcPr>
            <w:tcW w:w="1394" w:type="dxa"/>
          </w:tcPr>
          <w:p w14:paraId="69CA0063" w14:textId="40983EB9" w:rsidR="009C628D" w:rsidRDefault="009C628D" w:rsidP="00C0244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C02447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>895</w:t>
            </w:r>
          </w:p>
        </w:tc>
        <w:tc>
          <w:tcPr>
            <w:tcW w:w="1461" w:type="dxa"/>
          </w:tcPr>
          <w:p w14:paraId="057DB700" w14:textId="5A77F504" w:rsidR="009C628D" w:rsidRDefault="009C628D" w:rsidP="00C0244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  <w:r w:rsidR="00C02447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>320</w:t>
            </w:r>
          </w:p>
        </w:tc>
        <w:tc>
          <w:tcPr>
            <w:tcW w:w="1295" w:type="dxa"/>
          </w:tcPr>
          <w:p w14:paraId="42E23718" w14:textId="46FF8BE5" w:rsidR="009C628D" w:rsidRDefault="009C628D" w:rsidP="00C0244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</w:t>
            </w:r>
            <w:r w:rsidR="00C02447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>445</w:t>
            </w:r>
          </w:p>
        </w:tc>
      </w:tr>
      <w:tr w:rsidR="009C628D" w14:paraId="3C49E124" w14:textId="77777777" w:rsidTr="009C628D">
        <w:tc>
          <w:tcPr>
            <w:tcW w:w="1334" w:type="dxa"/>
          </w:tcPr>
          <w:p w14:paraId="6E62AE16" w14:textId="25D786D3" w:rsidR="009C628D" w:rsidRDefault="009C628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PLASC</w:t>
            </w:r>
          </w:p>
        </w:tc>
        <w:tc>
          <w:tcPr>
            <w:tcW w:w="2071" w:type="dxa"/>
          </w:tcPr>
          <w:p w14:paraId="28D5F3CB" w14:textId="1E5F0DC3" w:rsidR="009C628D" w:rsidRDefault="009C628D" w:rsidP="00C0244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C02447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>785</w:t>
            </w:r>
          </w:p>
          <w:p w14:paraId="5ABD7B4D" w14:textId="0A2B1BD5" w:rsidR="009C628D" w:rsidRDefault="009C628D" w:rsidP="00C0244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1" w:type="dxa"/>
          </w:tcPr>
          <w:p w14:paraId="323015CF" w14:textId="1FED5FA3" w:rsidR="009C628D" w:rsidRDefault="009C628D" w:rsidP="00C0244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965</w:t>
            </w:r>
          </w:p>
        </w:tc>
        <w:tc>
          <w:tcPr>
            <w:tcW w:w="1394" w:type="dxa"/>
          </w:tcPr>
          <w:p w14:paraId="79C1820F" w14:textId="2BAB2017" w:rsidR="009C628D" w:rsidRDefault="009C628D" w:rsidP="00C0244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  <w:r w:rsidR="00C02447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>035</w:t>
            </w:r>
          </w:p>
        </w:tc>
        <w:tc>
          <w:tcPr>
            <w:tcW w:w="1461" w:type="dxa"/>
          </w:tcPr>
          <w:p w14:paraId="0FA76DD1" w14:textId="5EFAE6DF" w:rsidR="009C628D" w:rsidRDefault="009C628D" w:rsidP="00C0244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C02447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>750</w:t>
            </w:r>
          </w:p>
        </w:tc>
        <w:tc>
          <w:tcPr>
            <w:tcW w:w="1295" w:type="dxa"/>
          </w:tcPr>
          <w:p w14:paraId="252CA1DA" w14:textId="54A6AA2E" w:rsidR="009C628D" w:rsidRDefault="009C628D" w:rsidP="00C0244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  <w:r w:rsidR="00C02447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>535</w:t>
            </w:r>
          </w:p>
        </w:tc>
      </w:tr>
    </w:tbl>
    <w:p w14:paraId="5CBD9EAA" w14:textId="77777777" w:rsidR="00181655" w:rsidRDefault="00181655">
      <w:pPr>
        <w:rPr>
          <w:rFonts w:ascii="Arial" w:hAnsi="Arial" w:cs="Arial"/>
          <w:sz w:val="24"/>
          <w:szCs w:val="24"/>
        </w:rPr>
      </w:pPr>
    </w:p>
    <w:p w14:paraId="717CCFD9" w14:textId="755ABAC3" w:rsidR="00EE52DE" w:rsidRDefault="00A747B4" w:rsidP="00A747B4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 the 2022 SWAC collection those who teach/work in Welsh in their current post was 14.3% higher than the 2023 PLASC collection. This is slightly less than the previous two collections at 16.8% and 16.6% higher.  </w:t>
      </w:r>
    </w:p>
    <w:p w14:paraId="022D169B" w14:textId="77777777" w:rsidR="00A747B4" w:rsidRDefault="00A747B4" w:rsidP="00A747B4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Those able to teach/work in the Welsh but not doing so was 67.5% higher in the 2022 SWAC collection compared to the 2023 PLASC collection. This is </w:t>
      </w:r>
      <w:r>
        <w:rPr>
          <w:rFonts w:ascii="Arial" w:hAnsi="Arial" w:cs="Arial"/>
          <w:sz w:val="24"/>
          <w:szCs w:val="24"/>
        </w:rPr>
        <w:lastRenderedPageBreak/>
        <w:t xml:space="preserve">also less than the previous two collections with the 2021 SWAC collection being 91.5% higher and the 2020 SWAC collection being 89.5% higher than the 2022 and 2021 PLASC collection respectively. </w:t>
      </w:r>
    </w:p>
    <w:p w14:paraId="5FF8895B" w14:textId="77777777" w:rsidR="00A747B4" w:rsidRDefault="00A747B4" w:rsidP="00A747B4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Unable to teach Welsh has remained relatively similar in difference between SWAC and PLASC collections with the 2022 SWAC collection being 18% higher, with the previous two years being 16.7% and 14.3% higher than the respective PLASC collections. </w:t>
      </w:r>
    </w:p>
    <w:p w14:paraId="5482326B" w14:textId="0BADC922" w:rsidR="00A747B4" w:rsidRPr="00A747B4" w:rsidRDefault="00A747B4" w:rsidP="00A747B4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 the 2022 SWAC collection those teaching Welsh as a subject only was 21.3% lower than the 2023 PLASC collection.  The 2021 and 2020 SWAC collections were 19.1% and 18.4% lower than the respective PLASC collection years. </w:t>
      </w:r>
    </w:p>
    <w:p w14:paraId="5C3EADD8" w14:textId="597DDF2B" w:rsidR="00EE52DE" w:rsidRPr="00690D3B" w:rsidRDefault="00690D3B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Table 6: </w:t>
      </w:r>
      <w:r w:rsidR="00EE52DE" w:rsidRPr="00690D3B">
        <w:rPr>
          <w:rFonts w:ascii="Arial" w:hAnsi="Arial" w:cs="Arial"/>
          <w:b/>
          <w:bCs/>
          <w:sz w:val="24"/>
          <w:szCs w:val="24"/>
        </w:rPr>
        <w:t>Recruitment Data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1843"/>
        <w:gridCol w:w="1984"/>
        <w:gridCol w:w="1984"/>
      </w:tblGrid>
      <w:tr w:rsidR="00D61A86" w14:paraId="1E8DF129" w14:textId="3C8B9E71" w:rsidTr="00F2143A">
        <w:tc>
          <w:tcPr>
            <w:tcW w:w="1271" w:type="dxa"/>
          </w:tcPr>
          <w:p w14:paraId="6BA0149A" w14:textId="77777777" w:rsidR="00D61A86" w:rsidRDefault="00D61A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</w:tcPr>
          <w:p w14:paraId="77434FAD" w14:textId="77777777" w:rsidR="00D61A86" w:rsidRDefault="00D61A86" w:rsidP="00D61A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Posts advertised</w:t>
            </w:r>
          </w:p>
        </w:tc>
        <w:tc>
          <w:tcPr>
            <w:tcW w:w="1843" w:type="dxa"/>
          </w:tcPr>
          <w:p w14:paraId="6C54AA3D" w14:textId="77777777" w:rsidR="00D61A86" w:rsidRDefault="00D61A86" w:rsidP="00D61A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Applications received</w:t>
            </w:r>
          </w:p>
        </w:tc>
        <w:tc>
          <w:tcPr>
            <w:tcW w:w="1984" w:type="dxa"/>
          </w:tcPr>
          <w:p w14:paraId="0713D2E3" w14:textId="77777777" w:rsidR="00D61A86" w:rsidRDefault="00D61A86" w:rsidP="00D61A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Appointments made</w:t>
            </w:r>
          </w:p>
        </w:tc>
        <w:tc>
          <w:tcPr>
            <w:tcW w:w="1984" w:type="dxa"/>
          </w:tcPr>
          <w:p w14:paraId="534A26A6" w14:textId="2E347BCE" w:rsidR="00D61A86" w:rsidRDefault="00D61A86" w:rsidP="00D61A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Applications per post</w:t>
            </w:r>
          </w:p>
        </w:tc>
      </w:tr>
      <w:tr w:rsidR="00D61A86" w14:paraId="19943214" w14:textId="5EB980B9" w:rsidTr="00F2143A">
        <w:tc>
          <w:tcPr>
            <w:tcW w:w="1271" w:type="dxa"/>
          </w:tcPr>
          <w:p w14:paraId="46696931" w14:textId="1EBE5811" w:rsidR="00D61A86" w:rsidRDefault="00D61A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SWAC (2021/22)</w:t>
            </w:r>
          </w:p>
        </w:tc>
        <w:tc>
          <w:tcPr>
            <w:tcW w:w="1701" w:type="dxa"/>
          </w:tcPr>
          <w:p w14:paraId="35799F50" w14:textId="18DB8652" w:rsidR="00D61A86" w:rsidRDefault="00D61A86" w:rsidP="00C0244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1,503</w:t>
            </w:r>
          </w:p>
          <w:p w14:paraId="54F55896" w14:textId="77777777" w:rsidR="00D61A86" w:rsidRDefault="00D61A86" w:rsidP="00C0244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3545FE3" w14:textId="38BCC8F0" w:rsidR="00D61A86" w:rsidRDefault="00D61A86" w:rsidP="00C0244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18,030</w:t>
            </w:r>
          </w:p>
        </w:tc>
        <w:tc>
          <w:tcPr>
            <w:tcW w:w="1984" w:type="dxa"/>
          </w:tcPr>
          <w:p w14:paraId="36EF68CC" w14:textId="3D756E2A" w:rsidR="00D61A86" w:rsidRDefault="00D61A86" w:rsidP="00C0244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1,383</w:t>
            </w:r>
          </w:p>
        </w:tc>
        <w:tc>
          <w:tcPr>
            <w:tcW w:w="1984" w:type="dxa"/>
          </w:tcPr>
          <w:p w14:paraId="0D8C31EB" w14:textId="388BD14D" w:rsidR="00D61A86" w:rsidRDefault="00D61A86" w:rsidP="00C0244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12.0</w:t>
            </w:r>
          </w:p>
        </w:tc>
      </w:tr>
      <w:tr w:rsidR="00D61A86" w14:paraId="51E3F84F" w14:textId="5663CFBF" w:rsidTr="00F2143A">
        <w:tc>
          <w:tcPr>
            <w:tcW w:w="1271" w:type="dxa"/>
          </w:tcPr>
          <w:p w14:paraId="6551E62E" w14:textId="6CFC6556" w:rsidR="00D61A86" w:rsidRDefault="00D61A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PLASC (2021)</w:t>
            </w:r>
          </w:p>
        </w:tc>
        <w:tc>
          <w:tcPr>
            <w:tcW w:w="1701" w:type="dxa"/>
          </w:tcPr>
          <w:p w14:paraId="0C19163D" w14:textId="5D1005F7" w:rsidR="00D61A86" w:rsidRDefault="00D61A86" w:rsidP="00C0244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1,212</w:t>
            </w:r>
          </w:p>
          <w:p w14:paraId="11F86667" w14:textId="77777777" w:rsidR="00D61A86" w:rsidRDefault="00D61A86" w:rsidP="00C0244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17D4248" w14:textId="4AC1C439" w:rsidR="00D61A86" w:rsidRDefault="00D61A86" w:rsidP="00C0244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14,188</w:t>
            </w:r>
          </w:p>
        </w:tc>
        <w:tc>
          <w:tcPr>
            <w:tcW w:w="1984" w:type="dxa"/>
          </w:tcPr>
          <w:p w14:paraId="3D6474DC" w14:textId="0691A357" w:rsidR="00D61A86" w:rsidRDefault="00D61A86" w:rsidP="00C0244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1,101</w:t>
            </w:r>
          </w:p>
        </w:tc>
        <w:tc>
          <w:tcPr>
            <w:tcW w:w="1984" w:type="dxa"/>
          </w:tcPr>
          <w:p w14:paraId="4E25C840" w14:textId="5ADF8656" w:rsidR="00D61A86" w:rsidRDefault="00D61A86" w:rsidP="00C0244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11.7</w:t>
            </w:r>
          </w:p>
        </w:tc>
      </w:tr>
    </w:tbl>
    <w:p w14:paraId="31B9D294" w14:textId="77777777" w:rsidR="00EE52DE" w:rsidRDefault="00EE52DE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1843"/>
        <w:gridCol w:w="1984"/>
        <w:gridCol w:w="1984"/>
      </w:tblGrid>
      <w:tr w:rsidR="00D61A86" w14:paraId="12F2FA4E" w14:textId="6F88BDB5" w:rsidTr="00C1589B">
        <w:tc>
          <w:tcPr>
            <w:tcW w:w="1271" w:type="dxa"/>
          </w:tcPr>
          <w:p w14:paraId="40D0567A" w14:textId="77777777" w:rsidR="00D61A86" w:rsidRDefault="00D61A86" w:rsidP="00D61A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2022</w:t>
            </w:r>
          </w:p>
        </w:tc>
        <w:tc>
          <w:tcPr>
            <w:tcW w:w="1701" w:type="dxa"/>
          </w:tcPr>
          <w:p w14:paraId="13925094" w14:textId="10B759C7" w:rsidR="00D61A86" w:rsidRDefault="00D61A86" w:rsidP="00D61A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Posts advertised</w:t>
            </w:r>
          </w:p>
        </w:tc>
        <w:tc>
          <w:tcPr>
            <w:tcW w:w="1843" w:type="dxa"/>
          </w:tcPr>
          <w:p w14:paraId="6F29F177" w14:textId="2F2F5048" w:rsidR="00D61A86" w:rsidRDefault="00D61A86" w:rsidP="00D61A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Applications received</w:t>
            </w:r>
          </w:p>
        </w:tc>
        <w:tc>
          <w:tcPr>
            <w:tcW w:w="1984" w:type="dxa"/>
          </w:tcPr>
          <w:p w14:paraId="372148CF" w14:textId="1AE9E096" w:rsidR="00D61A86" w:rsidRDefault="00D61A86" w:rsidP="00D61A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Appointments made</w:t>
            </w:r>
          </w:p>
        </w:tc>
        <w:tc>
          <w:tcPr>
            <w:tcW w:w="1984" w:type="dxa"/>
          </w:tcPr>
          <w:p w14:paraId="6BE2B3AD" w14:textId="19598AC0" w:rsidR="00D61A86" w:rsidRDefault="00D61A86" w:rsidP="00D61A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Applications per post</w:t>
            </w:r>
          </w:p>
        </w:tc>
      </w:tr>
      <w:tr w:rsidR="00D61A86" w14:paraId="2068632B" w14:textId="7313D57A" w:rsidTr="00C1589B">
        <w:tc>
          <w:tcPr>
            <w:tcW w:w="1271" w:type="dxa"/>
          </w:tcPr>
          <w:p w14:paraId="0E79324B" w14:textId="3E9FFA10" w:rsidR="00D61A86" w:rsidRDefault="00D61A86" w:rsidP="007F40D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SWAC (2022/23)</w:t>
            </w:r>
          </w:p>
        </w:tc>
        <w:tc>
          <w:tcPr>
            <w:tcW w:w="1701" w:type="dxa"/>
          </w:tcPr>
          <w:p w14:paraId="1F4D7B9F" w14:textId="1C33F1E9" w:rsidR="00D61A86" w:rsidRDefault="00D61A86" w:rsidP="00C0244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2,292</w:t>
            </w:r>
          </w:p>
          <w:p w14:paraId="5A8B2450" w14:textId="77777777" w:rsidR="00D61A86" w:rsidRDefault="00D61A86" w:rsidP="00C0244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6FCEC54" w14:textId="438B5221" w:rsidR="00D61A86" w:rsidRDefault="00D61A86" w:rsidP="00C0244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20,754</w:t>
            </w:r>
          </w:p>
        </w:tc>
        <w:tc>
          <w:tcPr>
            <w:tcW w:w="1984" w:type="dxa"/>
          </w:tcPr>
          <w:p w14:paraId="50030F22" w14:textId="52DAA124" w:rsidR="00D61A86" w:rsidRDefault="00D61A86" w:rsidP="00C0244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2,037</w:t>
            </w:r>
          </w:p>
        </w:tc>
        <w:tc>
          <w:tcPr>
            <w:tcW w:w="1984" w:type="dxa"/>
          </w:tcPr>
          <w:p w14:paraId="5AF19D3C" w14:textId="234ED78E" w:rsidR="00D61A86" w:rsidRDefault="00D61A86" w:rsidP="00C0244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9.1</w:t>
            </w:r>
          </w:p>
        </w:tc>
      </w:tr>
      <w:tr w:rsidR="00D61A86" w14:paraId="1DD690E5" w14:textId="0229E0A4" w:rsidTr="00C1589B">
        <w:tc>
          <w:tcPr>
            <w:tcW w:w="1271" w:type="dxa"/>
          </w:tcPr>
          <w:p w14:paraId="5FB13DF6" w14:textId="768EC1E5" w:rsidR="00D61A86" w:rsidRDefault="00D61A86" w:rsidP="007F40D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PLASC (2022)</w:t>
            </w:r>
          </w:p>
        </w:tc>
        <w:tc>
          <w:tcPr>
            <w:tcW w:w="1701" w:type="dxa"/>
          </w:tcPr>
          <w:p w14:paraId="72961679" w14:textId="0FD43F0E" w:rsidR="00D61A86" w:rsidRDefault="00D61A86" w:rsidP="00C0244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1,801</w:t>
            </w:r>
          </w:p>
          <w:p w14:paraId="2DA3024D" w14:textId="77777777" w:rsidR="00D61A86" w:rsidRDefault="00D61A86" w:rsidP="00C0244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19C0815" w14:textId="5C83B388" w:rsidR="00D61A86" w:rsidRDefault="00D61A86" w:rsidP="00C0244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19,485</w:t>
            </w:r>
          </w:p>
        </w:tc>
        <w:tc>
          <w:tcPr>
            <w:tcW w:w="1984" w:type="dxa"/>
          </w:tcPr>
          <w:p w14:paraId="39EEEBBD" w14:textId="2864C429" w:rsidR="00D61A86" w:rsidRDefault="00D61A86" w:rsidP="00C0244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1,683</w:t>
            </w:r>
          </w:p>
        </w:tc>
        <w:tc>
          <w:tcPr>
            <w:tcW w:w="1984" w:type="dxa"/>
          </w:tcPr>
          <w:p w14:paraId="1B9B9EE4" w14:textId="017037CF" w:rsidR="00D61A86" w:rsidRDefault="00D61A86" w:rsidP="00C0244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10.8</w:t>
            </w:r>
          </w:p>
        </w:tc>
      </w:tr>
    </w:tbl>
    <w:p w14:paraId="4B8175DC" w14:textId="77777777" w:rsidR="00EE52DE" w:rsidRDefault="00EE52DE">
      <w:pPr>
        <w:rPr>
          <w:rFonts w:ascii="Arial" w:hAnsi="Arial" w:cs="Arial"/>
          <w:sz w:val="24"/>
          <w:szCs w:val="24"/>
        </w:rPr>
      </w:pPr>
    </w:p>
    <w:p w14:paraId="61636EE8" w14:textId="087C0E01" w:rsidR="00690D3B" w:rsidRDefault="00476C0B" w:rsidP="00476C0B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However, this increase is largely due to the coverage of SWAC and it being a school workforce specific collection. In the 2022 SWAC collection, 62% of schools completed the teacher recruitment section compared to 4</w:t>
      </w:r>
      <w:r w:rsidR="00193461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% in the </w:t>
      </w:r>
    </w:p>
    <w:p w14:paraId="23089773" w14:textId="095D762F" w:rsidR="00D61A86" w:rsidRDefault="00476C0B" w:rsidP="00D61A86">
      <w:pPr>
        <w:pStyle w:val="ListParagraph"/>
        <w:rPr>
          <w:rFonts w:ascii="Arial" w:hAnsi="Arial" w:cs="Arial"/>
          <w:sz w:val="24"/>
          <w:szCs w:val="24"/>
        </w:rPr>
      </w:pPr>
      <w:r w:rsidRPr="00690D3B">
        <w:rPr>
          <w:rFonts w:ascii="Arial" w:hAnsi="Arial" w:cs="Arial"/>
          <w:sz w:val="24"/>
          <w:szCs w:val="24"/>
        </w:rPr>
        <w:t>equivalent PLASC 202</w:t>
      </w:r>
      <w:r w:rsidR="00193461">
        <w:rPr>
          <w:rFonts w:ascii="Arial" w:hAnsi="Arial" w:cs="Arial"/>
          <w:sz w:val="24"/>
          <w:szCs w:val="24"/>
        </w:rPr>
        <w:t>3</w:t>
      </w:r>
      <w:r w:rsidRPr="00690D3B">
        <w:rPr>
          <w:rFonts w:ascii="Arial" w:hAnsi="Arial" w:cs="Arial"/>
          <w:sz w:val="24"/>
          <w:szCs w:val="24"/>
        </w:rPr>
        <w:t xml:space="preserve"> collection.</w:t>
      </w:r>
    </w:p>
    <w:p w14:paraId="6FC53F16" w14:textId="79915D44" w:rsidR="00D61A86" w:rsidRPr="00D61A86" w:rsidRDefault="00D61A86" w:rsidP="00D61A86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SWAC collects recruitment data on an academic year basis while PLASC collects recruitment data on a </w:t>
      </w:r>
      <w:r w:rsidR="00193461">
        <w:rPr>
          <w:rFonts w:ascii="Arial" w:hAnsi="Arial" w:cs="Arial"/>
          <w:sz w:val="24"/>
          <w:szCs w:val="24"/>
        </w:rPr>
        <w:t>calendar year basis.</w:t>
      </w:r>
    </w:p>
    <w:p w14:paraId="705083B2" w14:textId="618BB01B" w:rsidR="00476C0B" w:rsidRDefault="00690D3B" w:rsidP="00690D3B">
      <w:pPr>
        <w:rPr>
          <w:rFonts w:ascii="Arial" w:hAnsi="Arial" w:cs="Arial"/>
          <w:b/>
          <w:bCs/>
          <w:sz w:val="24"/>
          <w:szCs w:val="24"/>
        </w:rPr>
      </w:pPr>
      <w:r w:rsidRPr="00690D3B">
        <w:rPr>
          <w:rFonts w:ascii="Arial" w:hAnsi="Arial" w:cs="Arial"/>
          <w:b/>
          <w:bCs/>
          <w:sz w:val="24"/>
          <w:szCs w:val="24"/>
        </w:rPr>
        <w:t>Next Steps:</w:t>
      </w:r>
    </w:p>
    <w:p w14:paraId="7B03860A" w14:textId="412289E8" w:rsidR="00193461" w:rsidRPr="00193461" w:rsidRDefault="00193461" w:rsidP="00193461">
      <w:pPr>
        <w:pStyle w:val="ListParagraph"/>
        <w:numPr>
          <w:ilvl w:val="0"/>
          <w:numId w:val="6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Investigate differences between SWAC and PLASC data at a school and local authority level.</w:t>
      </w:r>
    </w:p>
    <w:p w14:paraId="6542C2E2" w14:textId="2BA848BC" w:rsidR="00193461" w:rsidRPr="00193461" w:rsidRDefault="00193461" w:rsidP="00193461">
      <w:pPr>
        <w:pStyle w:val="ListParagraph"/>
        <w:numPr>
          <w:ilvl w:val="0"/>
          <w:numId w:val="6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Engage with local authorities to understand reasons for differences in information collected.</w:t>
      </w:r>
    </w:p>
    <w:p w14:paraId="4AAD3754" w14:textId="629A7D1F" w:rsidR="00193461" w:rsidRPr="00193461" w:rsidRDefault="00193461" w:rsidP="00193461">
      <w:pPr>
        <w:pStyle w:val="ListParagraph"/>
        <w:numPr>
          <w:ilvl w:val="0"/>
          <w:numId w:val="6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Identify implications of removing workforce data from PLASC (</w:t>
      </w:r>
      <w:proofErr w:type="gramStart"/>
      <w:r>
        <w:rPr>
          <w:rFonts w:ascii="Arial" w:hAnsi="Arial" w:cs="Arial"/>
          <w:sz w:val="24"/>
          <w:szCs w:val="24"/>
        </w:rPr>
        <w:t>e.g.</w:t>
      </w:r>
      <w:proofErr w:type="gramEnd"/>
      <w:r>
        <w:rPr>
          <w:rFonts w:ascii="Arial" w:hAnsi="Arial" w:cs="Arial"/>
          <w:sz w:val="24"/>
          <w:szCs w:val="24"/>
        </w:rPr>
        <w:t xml:space="preserve"> pupil-teacher ratios; class size validation; funding).</w:t>
      </w:r>
    </w:p>
    <w:p w14:paraId="47CC48BE" w14:textId="715683E9" w:rsidR="00193461" w:rsidRPr="00193461" w:rsidRDefault="00193461" w:rsidP="00193461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193461">
        <w:rPr>
          <w:rFonts w:ascii="Arial" w:hAnsi="Arial" w:cs="Arial"/>
          <w:sz w:val="24"/>
          <w:szCs w:val="24"/>
        </w:rPr>
        <w:t>PLASC will collect workforce information in 2024 with intention to remove in 2025.</w:t>
      </w:r>
    </w:p>
    <w:sectPr w:rsidR="00193461" w:rsidRPr="001934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4330A"/>
    <w:multiLevelType w:val="hybridMultilevel"/>
    <w:tmpl w:val="7166D1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215CA"/>
    <w:multiLevelType w:val="hybridMultilevel"/>
    <w:tmpl w:val="25B87F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F90B6B"/>
    <w:multiLevelType w:val="hybridMultilevel"/>
    <w:tmpl w:val="7A2ECC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435A50"/>
    <w:multiLevelType w:val="hybridMultilevel"/>
    <w:tmpl w:val="EDFA29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867258"/>
    <w:multiLevelType w:val="hybridMultilevel"/>
    <w:tmpl w:val="F9E0BD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3415B0"/>
    <w:multiLevelType w:val="hybridMultilevel"/>
    <w:tmpl w:val="DC6228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F14EEC"/>
    <w:multiLevelType w:val="hybridMultilevel"/>
    <w:tmpl w:val="005E57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7102F1"/>
    <w:multiLevelType w:val="hybridMultilevel"/>
    <w:tmpl w:val="156A02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1553737">
    <w:abstractNumId w:val="4"/>
  </w:num>
  <w:num w:numId="2" w16cid:durableId="1240402954">
    <w:abstractNumId w:val="0"/>
  </w:num>
  <w:num w:numId="3" w16cid:durableId="121964841">
    <w:abstractNumId w:val="2"/>
  </w:num>
  <w:num w:numId="4" w16cid:durableId="2005737930">
    <w:abstractNumId w:val="1"/>
  </w:num>
  <w:num w:numId="5" w16cid:durableId="1573150732">
    <w:abstractNumId w:val="7"/>
  </w:num>
  <w:num w:numId="6" w16cid:durableId="2029135986">
    <w:abstractNumId w:val="5"/>
  </w:num>
  <w:num w:numId="7" w16cid:durableId="1489783340">
    <w:abstractNumId w:val="3"/>
  </w:num>
  <w:num w:numId="8" w16cid:durableId="159150486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57C"/>
    <w:rsid w:val="000319A4"/>
    <w:rsid w:val="00181655"/>
    <w:rsid w:val="00193461"/>
    <w:rsid w:val="003C1709"/>
    <w:rsid w:val="003E2A71"/>
    <w:rsid w:val="00476C0B"/>
    <w:rsid w:val="00690D3B"/>
    <w:rsid w:val="00762698"/>
    <w:rsid w:val="00785E9D"/>
    <w:rsid w:val="009C628D"/>
    <w:rsid w:val="00A3617B"/>
    <w:rsid w:val="00A5495F"/>
    <w:rsid w:val="00A747B4"/>
    <w:rsid w:val="00C02447"/>
    <w:rsid w:val="00D61A86"/>
    <w:rsid w:val="00D7757C"/>
    <w:rsid w:val="00EA5B1C"/>
    <w:rsid w:val="00EE5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2FEBD8"/>
  <w15:chartTrackingRefBased/>
  <w15:docId w15:val="{06B86F32-B110-4A33-B34E-CA2E56D86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775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E52D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361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3617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3617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61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617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2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8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0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5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7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/customXML/item.xml" Id="R3cdda457409b4d4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.xml.rels>&#65279;<?xml version="1.0" encoding="utf-8"?><Relationships xmlns="http://schemas.openxmlformats.org/package/2006/relationships"><Relationship Type="http://schemas.openxmlformats.org/officeDocument/2006/relationships/customXmlProps" Target="/customXML/itemProps.xml" Id="Rd3c4172d526e4b2384ade4b889302c76" /></Relationships>
</file>

<file path=customXML/item.xml><?xml version="1.0" encoding="utf-8"?>
<metadata xmlns="http://www.objective.com/ecm/document/metadata/FF3C5B18883D4E21973B57C2EEED7FD1" version="1.0.0">
  <systemFields>
    <field name="Objective-Id">
      <value order="0">A46951199</value>
    </field>
    <field name="Objective-Title">
      <value order="0">Item 11 - SWAC PLASC workforce data comparison</value>
    </field>
    <field name="Objective-Description">
      <value order="0"/>
    </field>
    <field name="Objective-CreationStamp">
      <value order="0">2023-10-02T16:05:40Z</value>
    </field>
    <field name="Objective-IsApproved">
      <value order="0">false</value>
    </field>
    <field name="Objective-IsPublished">
      <value order="0">true</value>
    </field>
    <field name="Objective-DatePublished">
      <value order="0">2023-10-02T16:05:59Z</value>
    </field>
    <field name="Objective-ModificationStamp">
      <value order="0">2023-10-02T16:05:59Z</value>
    </field>
    <field name="Objective-Owner">
      <value order="0">Thomas, Gareth H (ESJWL - Education - Workforce Statistics Branch)</value>
    </field>
    <field name="Objective-Path">
      <value order="0">Objective Global Folder:#Business File Plan:WG Organisational Groups:NEW - Post April 2022 - Education, Social Justice &amp; Welsh Language:Education, Social Justice &amp; Welsh Language (ESJWL) - Education - Schools Effectiveness Division :1 - Save:School Information &amp; Improvement Branch:Data collections and IMS:SDF Meetings:Software Developers' Forum (SDF) - 2023-2024 - Agenda, Minutes &amp; Papers:2023-10-03 - Software Development Forum Meeting</value>
    </field>
    <field name="Objective-Parent">
      <value order="0">2023-10-03 - Software Development Forum Meeting</value>
    </field>
    <field name="Objective-State">
      <value order="0">Published</value>
    </field>
    <field name="Objective-VersionId">
      <value order="0">vA88930431</value>
    </field>
    <field name="Objective-Version">
      <value order="0">1.0</value>
    </field>
    <field name="Objective-VersionNumber">
      <value order="0">2</value>
    </field>
    <field name="Objective-VersionComment">
      <value order="0">Version 2</value>
    </field>
    <field name="Objective-FileNumber">
      <value order="0">qA1873883</value>
    </field>
    <field name="Objective-Classification">
      <value order="0">Official</value>
    </field>
    <field name="Objective-Caveats">
      <value order="0"/>
    </field>
  </systemFields>
  <catalogues>
    <catalogue name="Document Type Catalogue" type="type" ori="id:cA14">
      <field name="Objective-Date Acquired">
        <value order="0">2023-10-01T23:00:00Z</value>
      </field>
      <field name="Objective-Official Translation">
        <value order="0"/>
      </field>
      <field name="Objective-Connect Creator">
        <value order="0"/>
      </field>
    </catalogue>
  </catalogues>
</metadata>
</file>

<file path=customXML/itemProps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FF3C5B18883D4E21973B57C2EEED7FD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759</Words>
  <Characters>4331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Welsh Government</Company>
  <LinksUpToDate>false</LinksUpToDate>
  <CharactersWithSpaces>5080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Pickup, Annie Rose (ESJWL - Education - Workforce Statistics Branch)</dc:creator>
  <cp:keywords/>
  <dc:description/>
  <cp:lastModifiedBy>Thomas, Gareth H (ESJWL - Education - Workforce Statistics Branch)</cp:lastModifiedBy>
  <cp:revision>2</cp:revision>
  <dcterms:created xsi:type="dcterms:W3CDTF">2023-10-02T16:05:00Z</dcterms:created>
  <dcterms:modified xsi:type="dcterms:W3CDTF">2023-10-02T16:05:00Z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A46951199</vt:lpwstr>
  </property>
  <property fmtid="{D5CDD505-2E9C-101B-9397-08002B2CF9AE}" pid="4" name="Objective-Title">
    <vt:lpwstr>Item 11 - SWAC PLASC workforce data comparison</vt:lpwstr>
  </property>
  <property fmtid="{D5CDD505-2E9C-101B-9397-08002B2CF9AE}" pid="5" name="Objective-Description">
    <vt:lpwstr/>
  </property>
  <property fmtid="{D5CDD505-2E9C-101B-9397-08002B2CF9AE}" pid="6" name="Objective-CreationStamp">
    <vt:filetime>2023-10-02T16:05:50Z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2023-10-02T16:05:59Z</vt:filetime>
  </property>
  <property fmtid="{D5CDD505-2E9C-101B-9397-08002B2CF9AE}" pid="10" name="Objective-ModificationStamp">
    <vt:filetime>2023-10-02T16:05:59Z</vt:filetime>
  </property>
  <property fmtid="{D5CDD505-2E9C-101B-9397-08002B2CF9AE}" pid="11" name="Objective-Owner">
    <vt:lpwstr>Thomas, Gareth H (ESJWL - Education - Workforce Statistics Branch)</vt:lpwstr>
  </property>
  <property fmtid="{D5CDD505-2E9C-101B-9397-08002B2CF9AE}" pid="12" name="Objective-Path">
    <vt:lpwstr>Objective Global Folder:#Business File Plan:WG Organisational Groups:NEW - Post April 2022 - Education, Social Justice &amp; Welsh Language:Education, Social Justice &amp; Welsh Language (ESJWL) - Education - Schools Effectiveness Division :1 - Save:School Information &amp; Improvement Branch:Data collections and IMS:SDF Meetings:Software Developers' Forum (SDF) - 2023-2024 - Agenda, Minutes &amp; Papers:2023-10-03 - Software Development Forum Meeting:</vt:lpwstr>
  </property>
  <property fmtid="{D5CDD505-2E9C-101B-9397-08002B2CF9AE}" pid="13" name="Objective-Parent">
    <vt:lpwstr>2023-10-03 - Software Development Forum Meeting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vA88930431</vt:lpwstr>
  </property>
  <property fmtid="{D5CDD505-2E9C-101B-9397-08002B2CF9AE}" pid="16" name="Objective-Version">
    <vt:lpwstr>1.0</vt:lpwstr>
  </property>
  <property fmtid="{D5CDD505-2E9C-101B-9397-08002B2CF9AE}" pid="17" name="Objective-VersionNumber">
    <vt:r8>2</vt:r8>
  </property>
  <property fmtid="{D5CDD505-2E9C-101B-9397-08002B2CF9AE}" pid="18" name="Objective-VersionComment">
    <vt:lpwstr>Version 2</vt:lpwstr>
  </property>
  <property fmtid="{D5CDD505-2E9C-101B-9397-08002B2CF9AE}" pid="19" name="Objective-FileNumber">
    <vt:lpwstr/>
  </property>
  <property fmtid="{D5CDD505-2E9C-101B-9397-08002B2CF9AE}" pid="20" name="Objective-Classification">
    <vt:lpwstr>[Inherited - Official]</vt:lpwstr>
  </property>
  <property fmtid="{D5CDD505-2E9C-101B-9397-08002B2CF9AE}" pid="21" name="Objective-Caveats">
    <vt:lpwstr/>
  </property>
  <property fmtid="{D5CDD505-2E9C-101B-9397-08002B2CF9AE}" pid="22" name="Objective-Date Acquired">
    <vt:filetime>2023-10-01T23:00:00Z</vt:filetime>
  </property>
  <property fmtid="{D5CDD505-2E9C-101B-9397-08002B2CF9AE}" pid="23" name="Objective-Official Translation">
    <vt:lpwstr/>
  </property>
  <property fmtid="{D5CDD505-2E9C-101B-9397-08002B2CF9AE}" pid="24" name="Objective-Connect Creator">
    <vt:lpwstr/>
  </property>
  <property fmtid="{D5CDD505-2E9C-101B-9397-08002B2CF9AE}" pid="25" name="Objective-Comment">
    <vt:lpwstr/>
  </property>
</Properties>
</file>